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الصفوي
</w:t>
      </w:r>
    </w:p>
    <w:p>
      <w:pPr>
        <w:jc w:val="start"/>
        <w:bidi/>
      </w:pPr>
      <w:r>
        <w:rPr>
          <w:rFonts w:ascii="arial" w:hAnsi="arial" w:eastAsia="arial" w:cs="arial"/>
          <w:sz w:val="28"/>
          <w:szCs w:val="28"/>
          <w:b w:val="1"/>
          <w:bCs w:val="1"/>
          <w:rtl/>
        </w:rPr>
        <w:t xml:space="preserve">الصفوي
</w:t>
      </w:r>
    </w:p>
    <w:p>
      <w:pPr/>
      <w:r>
        <w:rPr/>
        <w:t xml:space="preserve">الصفوي  عيسى بن محمد بن عبيد الله، أبو الخير، قطب الدين الحسني الحسيني الإيجي، المعروف بالصفوي: فاضل، متصوف، من الشافعية. هندي الموطن، قرأ في كجرات ودلى، وجاور بمكة سنين. وزار الشام وبيت المقدس وبلاد الروم (الترك) ثم استوطن مصر. نسبته إلى (صفي الدين) جده لأمه. له كتب، منها (مختصر النهاية لابن الأثير) في نحو نصف حجمها، و (شرح الغرة- خ) في المنطق، و (تفسير) من سورة عم إلى آخر الرآن، (سالة في الحمد- خ) و (شرح ا لحديث الأول من الجامع الصحيح للبخاري- خ) رسالة، و (شرح الكافية لابن الحاجب- خ) في النحو، مختصر. قال ابن العماد: كان من أعاجيب الزمان. </w:t>
      </w:r>
    </w:p>
    <w:p>
      <w:pPr>
        <w:jc w:val="start"/>
        <w:bidi/>
      </w:pPr>
      <w:r>
        <w:rPr>
          <w:sz w:val="24"/>
          <w:szCs w:val="24"/>
          <w:b w:val="1"/>
          <w:bCs w:val="1"/>
          <w:rtl/>
        </w:rPr>
        <w:t xml:space="preserve">
الأعلام،(دار العلم للملايين - بيروت،2002،ط 15،ج 5،ص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2026-07-18T15:47:18+03:00</dcterms:created>
  <dcterms:modified xsi:type="dcterms:W3CDTF">2026-07-18T15:47:18+03:00</dcterms:modified>
</cp:coreProperties>
</file>

<file path=docProps/custom.xml><?xml version="1.0" encoding="utf-8"?>
<Properties xmlns="http://schemas.openxmlformats.org/officeDocument/2006/custom-properties" xmlns:vt="http://schemas.openxmlformats.org/officeDocument/2006/docPropsVTypes"/>
</file>