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مزين
</w:t>
      </w:r>
    </w:p>
    <w:p>
      <w:pPr>
        <w:jc w:val="start"/>
        <w:bidi/>
      </w:pPr>
      <w:r>
        <w:rPr>
          <w:rFonts w:ascii="arial" w:hAnsi="arial" w:eastAsia="arial" w:cs="arial"/>
          <w:sz w:val="28"/>
          <w:szCs w:val="28"/>
          <w:b w:val="1"/>
          <w:bCs w:val="1"/>
          <w:rtl/>
        </w:rPr>
        <w:t xml:space="preserve">ابن مزين
</w:t>
      </w:r>
    </w:p>
    <w:p>
      <w:pPr/>
      <w:r>
        <w:rPr/>
        <w:t xml:space="preserve">ابن مزين  عيسى بن محمد أبي بكر بن سعيد أبو الأصبغ، من بني (مزين) وهو الداخل إلى الأندلس: مؤسس إمارة شلب (Silves) في أيام ملوك الطوائف بالأندلس. كان في عهد الأمويين قاضيا بها، وحمد أهلها سيرته، فلما ثارت الفتنة بزوال الدولة الأموية استقل بحكمها وتلقب بالمظفر وبايعه أهلها وجميع جهاتها سنة 440هـ ، فضبطها وأحسن إدارتها. وغزاه المعتضد ابن عباد فكانت بينهما حروب فاز فيها المعتضد وخلع ابن مزين وقتله. </w:t>
      </w:r>
    </w:p>
    <w:p>
      <w:pPr>
        <w:jc w:val="start"/>
        <w:bidi/>
      </w:pPr>
      <w:r>
        <w:rPr>
          <w:sz w:val="24"/>
          <w:szCs w:val="24"/>
          <w:b w:val="1"/>
          <w:bCs w:val="1"/>
          <w:rtl/>
        </w:rPr>
        <w:t xml:space="preserve">
الأعلام،(دار العلم للملايين - بيروت،2002،ط 15،ج 5،ص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2026-07-18T15:47:54+03:00</dcterms:created>
  <dcterms:modified xsi:type="dcterms:W3CDTF">2026-07-18T15:47:54+03:00</dcterms:modified>
</cp:coreProperties>
</file>

<file path=docProps/custom.xml><?xml version="1.0" encoding="utf-8"?>
<Properties xmlns="http://schemas.openxmlformats.org/officeDocument/2006/custom-properties" xmlns:vt="http://schemas.openxmlformats.org/officeDocument/2006/docPropsVTypes"/>
</file>