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المطهر
</w:t>
      </w:r>
    </w:p>
    <w:p>
      <w:pPr>
        <w:jc w:val="start"/>
        <w:bidi/>
      </w:pPr>
      <w:r>
        <w:rPr>
          <w:rFonts w:ascii="arial" w:hAnsi="arial" w:eastAsia="arial" w:cs="arial"/>
          <w:sz w:val="28"/>
          <w:szCs w:val="28"/>
          <w:b w:val="1"/>
          <w:bCs w:val="1"/>
          <w:rtl/>
        </w:rPr>
        <w:t xml:space="preserve">ابن المطهر
</w:t>
      </w:r>
    </w:p>
    <w:p>
      <w:pPr/>
      <w:r>
        <w:rPr/>
        <w:t xml:space="preserve">ابن المطهر  عيسى بن لطف الله بن المطهر بن الإمام يحيى شرف الدين: أحد علماء اليمن ونبلائها. من أهل كوكبان. كان عالما بالأدب والتاريخ وغلب عليه علم النجوم. من كتبه (روح الروح فيا حدث بعد المئة التاسعة من الفتن والفتوح- خ) جزآن في مجلد، رأيته في خزانة الشيخ محمد نصيف بجدة. قال الشوكاني: صنفه للأروام، بعناية الوزير محمد باشا. وصنف له أيضا (الأنفاس اليمنية في الدولة المحمدية) في تراجم أئمة اليمن، نقل عنه المحبى فوائد كثيرة. وله (الموشحات- خ) و (الوسيلة الفائقة- خ) ذكرهما بروكلمن.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عيسى بن لطف الله بن المطهر ابن الإمام شرف الدين اليماني الكوكباني
</w:t>
      </w:r>
    </w:p>
    <w:p>
      <w:pPr/>
      <w:r>
        <w:rPr/>
        <w:t xml:space="preserve">السيد عيسى بن لطف الله بن المطهر ابن الإمام شرف الدين اليماني الكوكباني </w:t>
      </w:r>
    </w:p>
    <w:p/>
    <w:p>
      <w:pPr/>
      <w:r>
        <w:rPr/>
        <w:t xml:space="preserve">الشاعر المنجم المؤرخ له تاريخ سماه روح الروح صنف واختص بالوزير محمد باشا فصنف هذا التاريخ بعنايته وذكر فيه ما كان بعد المائة التاسعة من الفتوح وصنف له النفحة اليمنية في الدولة المحمدية ومن نظمه</w:t>
      </w:r>
    </w:p>
    <w:p/>
    <w:p>
      <w:pPr>
        <w:jc w:val="center"/>
      </w:pPr>
      <w:r>
        <w:rPr>
          <w:color w:val="ff0000"/>
        </w:rPr>
        <w:t xml:space="preserve">لا تلمني في حب أهيف كالغص</w:t>
      </w:r>
      <w:r>
        <w:rPr>
          <w:color w:val="ff0000"/>
        </w:rPr>
        <w:t xml:space="preserve">      </w:t>
      </w:r>
      <w:r>
        <w:rPr>
          <w:color w:val="ff0000"/>
        </w:rPr>
        <w:t xml:space="preserve">ن بغير الشموس في الاشراق</w:t>
      </w:r>
    </w:p>
    <w:p/>
    <w:p>
      <w:pPr>
        <w:jc w:val="center"/>
      </w:pPr>
      <w:r>
        <w:rPr>
          <w:color w:val="ff0000"/>
        </w:rPr>
        <w:t xml:space="preserve">لدغتنى في حبة الوج</w:t>
      </w:r>
      <w:r>
        <w:rPr>
          <w:color w:val="ff0000"/>
        </w:rPr>
        <w:t xml:space="preserve">      </w:t>
      </w:r>
      <w:r>
        <w:rPr>
          <w:color w:val="ff0000"/>
        </w:rPr>
        <w:t xml:space="preserve">هـ فما غير وصله من راق</w:t>
      </w:r>
    </w:p>
    <w:p/>
    <w:p>
      <w:pPr/>
      <w:r>
        <w:rPr/>
        <w:t xml:space="preserve">وكان يهوى غلاما جميلاً فقتله الأتراك في بعض الحروب فقال في ذلك قصيدة منها</w:t>
      </w:r>
    </w:p>
    <w:p/>
    <w:p>
      <w:pPr>
        <w:jc w:val="center"/>
      </w:pPr>
      <w:r>
        <w:rPr>
          <w:color w:val="ff0000"/>
        </w:rPr>
        <w:t xml:space="preserve">قد كنت أهوى بان تأوي إلى نظري</w:t>
      </w:r>
      <w:r>
        <w:rPr>
          <w:color w:val="ff0000"/>
        </w:rPr>
        <w:t xml:space="preserve">      </w:t>
      </w:r>
      <w:r>
        <w:rPr>
          <w:color w:val="ff0000"/>
        </w:rPr>
        <w:t xml:space="preserve">فالآن من لي بجعل القلب تابوتا</w:t>
      </w:r>
    </w:p>
    <w:p/>
    <w:p>
      <w:pPr>
        <w:jc w:val="center"/>
      </w:pPr>
      <w:r>
        <w:rPr>
          <w:color w:val="ff0000"/>
        </w:rPr>
        <w:t xml:space="preserve">عذبتنى بالجفا وقت الحياة وفي</w:t>
      </w:r>
      <w:r>
        <w:rPr>
          <w:color w:val="ff0000"/>
        </w:rPr>
        <w:t xml:space="preserve">      </w:t>
      </w:r>
      <w:r>
        <w:rPr>
          <w:color w:val="ff0000"/>
        </w:rPr>
        <w:t xml:space="preserve">مماتك اليوم قد أحرمتني القوتا</w:t>
      </w:r>
    </w:p>
    <w:p/>
    <w:p>
      <w:pPr>
        <w:jc w:val="center"/>
      </w:pPr>
      <w:r>
        <w:rPr>
          <w:color w:val="ff0000"/>
        </w:rPr>
        <w:t xml:space="preserve">قتلت منك غداة الحالتين معاً</w:t>
      </w:r>
      <w:r>
        <w:rPr>
          <w:color w:val="ff0000"/>
        </w:rPr>
        <w:t xml:space="preserve">      </w:t>
      </w:r>
      <w:r>
        <w:rPr>
          <w:color w:val="ff0000"/>
        </w:rPr>
        <w:t xml:space="preserve">حيا وميتاً فيا طول الجو هيتا</w:t>
      </w:r>
    </w:p>
    <w:p/>
    <w:p>
      <w:pPr>
        <w:jc w:val="center"/>
      </w:pPr>
      <w:r>
        <w:rPr>
          <w:color w:val="ff0000"/>
        </w:rPr>
        <w:t xml:space="preserve">يازهرة قطفت من بعدما بسمت</w:t>
      </w:r>
      <w:r>
        <w:rPr>
          <w:color w:val="ff0000"/>
        </w:rPr>
        <w:t xml:space="preserve">      </w:t>
      </w:r>
      <w:r>
        <w:rPr>
          <w:color w:val="ff0000"/>
        </w:rPr>
        <w:t xml:space="preserve">وزهرة غربت مذ وافت الحوتا</w:t>
      </w:r>
    </w:p>
    <w:p/>
    <w:p>
      <w:pPr>
        <w:jc w:val="center"/>
      </w:pPr>
      <w:r>
        <w:rPr>
          <w:color w:val="ff0000"/>
        </w:rPr>
        <w:t xml:space="preserve">لهفى على المقلة الكحلا إلى قصرت</w:t>
      </w:r>
      <w:r>
        <w:rPr>
          <w:color w:val="ff0000"/>
        </w:rPr>
        <w:t xml:space="preserve">      </w:t>
      </w:r>
      <w:r>
        <w:rPr>
          <w:color w:val="ff0000"/>
        </w:rPr>
        <w:t xml:space="preserve">عن سحر نفثتها أسحار هاروتا</w:t>
      </w:r>
    </w:p>
    <w:p/>
    <w:p>
      <w:pPr/>
      <w:r>
        <w:rPr/>
        <w:t xml:space="preserve">وله قصيدة كتبها إلى الإمام القاسم بن محمد ينتصل فيها عما ينسب إليه من تفضيله للدولة التركية على الدولة القاسمية ومطلعها</w:t>
      </w:r>
    </w:p>
    <w:p/>
    <w:p>
      <w:pPr>
        <w:jc w:val="center"/>
      </w:pPr>
      <w:r>
        <w:rPr>
          <w:color w:val="ff0000"/>
        </w:rPr>
        <w:t xml:space="preserve">ما شاقني سجع الحمامة</w:t>
      </w:r>
      <w:r>
        <w:rPr>
          <w:color w:val="ff0000"/>
        </w:rPr>
        <w:t xml:space="preserve">      </w:t>
      </w:r>
      <w:r>
        <w:rPr>
          <w:color w:val="ff0000"/>
        </w:rPr>
        <w:t xml:space="preserve">سحراً ولا برق الغمامة</w:t>
      </w:r>
    </w:p>
    <w:p/>
    <w:p>
      <w:pPr/>
      <w:r>
        <w:rPr/>
        <w:t xml:space="preserve">وكان موته في دولة الإمام المؤيد بالله محمد بن القاسم في سنة 1048 ثمان وأربعين وألف وكان يفد إليه ويكرمه</w:t>
      </w:r>
    </w:p>
    <w:p>
      <w:pPr>
        <w:jc w:val="start"/>
        <w:bidi/>
      </w:pPr>
      <w:r>
        <w:rPr>
          <w:sz w:val="24"/>
          <w:szCs w:val="24"/>
          <w:b w:val="1"/>
          <w:bCs w:val="1"/>
          <w:rtl/>
        </w:rPr>
        <w:t xml:space="preserve">
البدر الطالع بمحاسن من بعد القرن السابع،(دار المعرفة - بيروت،0،ط 1،ج 1،ص 516)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2026-07-18T14:49:48+03:00</dcterms:created>
  <dcterms:modified xsi:type="dcterms:W3CDTF">2026-07-18T14:49:48+03:00</dcterms:modified>
</cp:coreProperties>
</file>

<file path=docProps/custom.xml><?xml version="1.0" encoding="utf-8"?>
<Properties xmlns="http://schemas.openxmlformats.org/officeDocument/2006/custom-properties" xmlns:vt="http://schemas.openxmlformats.org/officeDocument/2006/docPropsVTypes"/>
</file>