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
</w:t>
      </w:r>
    </w:p>
    <w:p>
      <w:pPr>
        <w:jc w:val="start"/>
        <w:bidi/>
      </w:pPr>
      <w:r>
        <w:rPr>
          <w:rFonts w:ascii="arial" w:hAnsi="arial" w:eastAsia="arial" w:cs="arial"/>
          <w:sz w:val="28"/>
          <w:szCs w:val="28"/>
          <w:b w:val="1"/>
          <w:bCs w:val="1"/>
          <w:rtl/>
        </w:rPr>
        <w:t xml:space="preserve">العطار
</w:t>
      </w:r>
    </w:p>
    <w:p>
      <w:pPr/>
      <w:r>
        <w:rPr/>
        <w:t xml:space="preserve">العطار  أحمد بن عبيد الله بن عسكر بن أحمد، شهاب الدين العطار: محدث الشام في عصره. حمصي الأصل، دمشقي المولد والوفاة. من كبار المدرسين. ومن رجال الجهاد. قال البيطار: لما تغلب الفرنج على مصر ومشوا على الساحل ووصلوا إلى صفد وبلاد نابلس عام 1214 شمر عن ساعد الاجتهاد ودعا الناس إلى الجهاد وخرج مع عسكر من دمشق مجاهدا بنفسه وماله وأولاده، حتى التقى الجمعان، فكان هو في الصفوف المقابلة للعدو. وحج وزار بلاد الروم ومصر. له (ثبت - خ) في دار الكتب (49 تيمور) وجمع عبد الرحمن بن محمد الكزبري (المتوفي سنة 1264) مشيخة له سماها ’’ انتخاب العوالي و الشيوخ الأخيار من فهارس شيخنا الامام المسند العطار - خ) في دار الكتب (180 طلعت).</w:t>
      </w:r>
    </w:p>
    <w:p>
      <w:pPr>
        <w:jc w:val="start"/>
        <w:bidi/>
      </w:pPr>
      <w:r>
        <w:rPr>
          <w:sz w:val="24"/>
          <w:szCs w:val="24"/>
          <w:b w:val="1"/>
          <w:bCs w:val="1"/>
          <w:rtl/>
        </w:rPr>
        <w:t xml:space="preserve">
الأعلام،(دار العلم للملايين - بيروت،2002،ط 15،ج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2026-07-03T20:43:30+03:00</dcterms:created>
  <dcterms:modified xsi:type="dcterms:W3CDTF">2026-07-03T20:43:30+03:00</dcterms:modified>
</cp:coreProperties>
</file>

<file path=docProps/custom.xml><?xml version="1.0" encoding="utf-8"?>
<Properties xmlns="http://schemas.openxmlformats.org/officeDocument/2006/custom-properties" xmlns:vt="http://schemas.openxmlformats.org/officeDocument/2006/docPropsVTypes"/>
</file>