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هند
</w:t>
      </w:r>
    </w:p>
    <w:p>
      <w:pPr>
        <w:jc w:val="start"/>
        <w:bidi/>
      </w:pPr>
      <w:r>
        <w:rPr>
          <w:rFonts w:ascii="arial" w:hAnsi="arial" w:eastAsia="arial" w:cs="arial"/>
          <w:sz w:val="28"/>
          <w:szCs w:val="28"/>
          <w:b w:val="1"/>
          <w:bCs w:val="1"/>
          <w:rtl/>
        </w:rPr>
        <w:t xml:space="preserve">عمرو بن هند
</w:t>
      </w:r>
    </w:p>
    <w:p>
      <w:pPr/>
      <w:r>
        <w:rPr/>
        <w:t xml:space="preserve">عمرو بن هند  عمرو بن المنذر اللخمي: ملك الحيرة في الجاهلية. عرف بنسبته إلى أمه هند (عمة امرئ القيس الشاعر) تمييزا له عن أخيه عمرو الأصغر (ابن أمامة) أما نسبه فهو: عمرو بن المنذر الثالث ابن امرئ القيس بنت النعمان بن الأسود، من بني لخم، من كهلان. ويلقب بالمحرق الثاني، لإحراقه بعض بني تميم في جناية واحد منهم اسمه سويد الدارمي، قتل ابنا (أو أخا) صغيرا لعمرو. ملك بعد أبيه. واشتهر في وقائع كثيرة مع الروم والغسانيين وأهل اليمامة. وهو صاحب صحيفة المتلمس، وقاتل طرفة بن العبد الشاعر. كان شديد البأس، كثير الفتك، هابته العرب وأطاعته القبائل. وفي أيامه ولد النبي (ص). واستمر ملكه خمسة عشر عاما. وقتله عمرو بن كلثوم (الشاعر، صاحب المعلقة) أنفة وغضبا لأمه في خبر طويل.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2026-04-30T16:47:08+03:00</dcterms:created>
  <dcterms:modified xsi:type="dcterms:W3CDTF">2026-04-30T16:47:08+03:00</dcterms:modified>
</cp:coreProperties>
</file>

<file path=docProps/custom.xml><?xml version="1.0" encoding="utf-8"?>
<Properties xmlns="http://schemas.openxmlformats.org/officeDocument/2006/custom-properties" xmlns:vt="http://schemas.openxmlformats.org/officeDocument/2006/docPropsVTypes"/>
</file>