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بانة
</w:t>
      </w:r>
    </w:p>
    <w:p>
      <w:pPr/>
      <w:r>
        <w:rPr/>
        <w:t xml:space="preserve">ابن بانة  عمرو بن محمد بن سليمان بن راشد مولى ثقيف، وبانة أمه نسب إليها: نديم، من العشراء العلماء بالغناء. كان خصيصا بالمتوكل العباسي. منزله ببغداد. ووفاته بسامراء. له كتاب في (الأغاني).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بانه المغني
</w:t>
      </w:r>
    </w:p>
    <w:p>
      <w:pPr/>
      <w:r>
        <w:rPr/>
        <w:t xml:space="preserve">ابن بانه المغني  عمرو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2026-07-18T11:03:01+03:00</dcterms:created>
  <dcterms:modified xsi:type="dcterms:W3CDTF">2026-07-18T11:03:01+03:00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