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قميئة
</w:t>
      </w:r>
    </w:p>
    <w:p>
      <w:pPr>
        <w:jc w:val="start"/>
        <w:bidi/>
      </w:pPr>
      <w:r>
        <w:rPr>
          <w:rFonts w:ascii="arial" w:hAnsi="arial" w:eastAsia="arial" w:cs="arial"/>
          <w:sz w:val="28"/>
          <w:szCs w:val="28"/>
          <w:b w:val="1"/>
          <w:bCs w:val="1"/>
          <w:rtl/>
        </w:rPr>
        <w:t xml:space="preserve">عمرو بن قميئة
</w:t>
      </w:r>
    </w:p>
    <w:p>
      <w:pPr/>
      <w:r>
        <w:rPr/>
        <w:t xml:space="preserve">عمرو بن قميئة  عمرو بن قميئة بن ذريح بن سعد بن مالك الثعلبي البكري الوائلي النزاري: شاعر جاهلي مقدم. نشأ يتيما، وأقام في الحيرة مدة، وصحب حجرا (أبا امرئ القيس الشاعر) وخرج معه امرئ القيس في توجهه إلى قيصر، فمات في الطريق، فكان يقال له (الضائع) وكان واسع الخيال في شعره. وفيه يقول امرؤ القيس:</w:t>
      </w:r>
    </w:p>
    <w:p/>
    <w:p>
      <w:pPr/>
      <w:r>
        <w:rPr/>
        <w:t xml:space="preserve">#بكى صاحبي لما رأى الدرب دونهله (ديوان شعر- ط).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2026-07-18T10:26:11+03:00</dcterms:created>
  <dcterms:modified xsi:type="dcterms:W3CDTF">2026-07-18T10:26:11+03:00</dcterms:modified>
</cp:coreProperties>
</file>

<file path=docProps/custom.xml><?xml version="1.0" encoding="utf-8"?>
<Properties xmlns="http://schemas.openxmlformats.org/officeDocument/2006/custom-properties" xmlns:vt="http://schemas.openxmlformats.org/officeDocument/2006/docPropsVTypes"/>
</file>