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قعين
</w:t>
      </w:r>
    </w:p>
    <w:p>
      <w:pPr/>
      <w:r>
        <w:rPr/>
        <w:t xml:space="preserve">عمرو بن قعين  عمرو بن قعين بن الحارث، من أسد ابن خزيمة، من عدنان: جد جاهلي. كطان له من الولد طريف، وكعب، وعبد الله. ومن نسله طليحة بن خويلد المتنبئ.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2026-04-30T15:32:10+03:00</dcterms:created>
  <dcterms:modified xsi:type="dcterms:W3CDTF">2026-04-30T15:32:10+03:00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