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تبان
</w:t>
      </w:r>
    </w:p>
    <w:p>
      <w:pPr>
        <w:jc w:val="start"/>
        <w:bidi/>
      </w:pPr>
      <w:r>
        <w:rPr>
          <w:rFonts w:ascii="arial" w:hAnsi="arial" w:eastAsia="arial" w:cs="arial"/>
          <w:sz w:val="28"/>
          <w:szCs w:val="28"/>
          <w:b w:val="1"/>
          <w:bCs w:val="1"/>
          <w:rtl/>
        </w:rPr>
        <w:t xml:space="preserve">عمرو بن تبان
</w:t>
      </w:r>
    </w:p>
    <w:p>
      <w:pPr/>
      <w:r>
        <w:rPr/>
        <w:t xml:space="preserve">عمرو بن تبان  عمرو بن تبان أسعد أبي كرب: تبع، من ملوك اليمن. كان مع أخيه (حسان) في زحفه على العراق. واتفق مع بعض القادة على قتل أخيه، فقتله، وولى ملك حمير. وعاد إلى بلاده فنزل بغمدان، وقتل من أشاروا عليه بقتل أخيه. واضطربت أموره، واستمر إلى أن مات. ومدة ملكه 63سنة. وكان معاصرا لعمرو بن حجر الكندي جد امرئ القيس. </w:t>
      </w:r>
    </w:p>
    <w:p>
      <w:pPr>
        <w:jc w:val="start"/>
        <w:bidi/>
      </w:pPr>
      <w:r>
        <w:rPr>
          <w:sz w:val="24"/>
          <w:szCs w:val="24"/>
          <w:b w:val="1"/>
          <w:bCs w:val="1"/>
          <w:rtl/>
        </w:rPr>
        <w:t xml:space="preserve">
الأعلام،(دار العلم للملايين - بيروت،2002،ط 15،ج 5،ص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2026-07-18T08:42:54+03:00</dcterms:created>
  <dcterms:modified xsi:type="dcterms:W3CDTF">2026-07-18T08:42:54+03:00</dcterms:modified>
</cp:coreProperties>
</file>

<file path=docProps/custom.xml><?xml version="1.0" encoding="utf-8"?>
<Properties xmlns="http://schemas.openxmlformats.org/officeDocument/2006/custom-properties" xmlns:vt="http://schemas.openxmlformats.org/officeDocument/2006/docPropsVTypes"/>
</file>