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أسد
</w:t>
      </w:r>
    </w:p>
    <w:p>
      <w:pPr/>
      <w:r>
        <w:rPr/>
        <w:t xml:space="preserve">عمرو بن أسد  عمرو بن أسد، من خزيمة، من عدنان: جد جاهلي. يقال: إنه أول من عمل الحديد من العرب. من عقبه (سماك بن مخرمة) صاحب (مسجد سماك) بالكوفة، وهو الذي يقول فيه الأخطل:</w:t>
      </w:r>
    </w:p>
    <w:p/>
    <w:p>
      <w:pPr/>
      <w:r>
        <w:rPr/>
        <w:t xml:space="preserve">#نعم المجير سماك من بني أسد.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2026-04-30T13:05:32+03:00</dcterms:created>
  <dcterms:modified xsi:type="dcterms:W3CDTF">2026-04-30T13:05:32+03:00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