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الميانشي
</w:t>
      </w:r>
    </w:p>
    <w:p>
      <w:pPr>
        <w:jc w:val="start"/>
        <w:bidi/>
      </w:pPr>
      <w:r>
        <w:rPr>
          <w:rFonts w:ascii="arial" w:hAnsi="arial" w:eastAsia="arial" w:cs="arial"/>
          <w:sz w:val="28"/>
          <w:szCs w:val="28"/>
          <w:b w:val="1"/>
          <w:bCs w:val="1"/>
          <w:rtl/>
        </w:rPr>
        <w:t xml:space="preserve">الميانشي
</w:t>
      </w:r>
    </w:p>
    <w:p>
      <w:pPr/>
      <w:r>
        <w:rPr/>
        <w:t xml:space="preserve">الميانشي  عمر بن عبد المجيد بن عمر بن حسين القرشي، أبو حفص الميانشي: شيخ الحرم بمكة. انتقل إليها من بلده ’’ميانش’’ من قريش المهدية بإفريقية، وحدث بمصر في طريقه إلى مكة. من تآليفه (كراس) في علم الحديث سماه (مالا يسع المحدث جهله - ط) و (تعليقات على الفردوس - خ) في شستربتي 5169 و (الاختيار في الملح والاخبار - خ) أيضا 4971 و (المجالس المكية) قيل: روى فيها أحاديث باطلة، و (روضة المشتاق) في الرقائق. توفي بمكة. </w:t>
      </w:r>
    </w:p>
    <w:p>
      <w:pPr>
        <w:jc w:val="start"/>
        <w:bidi/>
      </w:pPr>
      <w:r>
        <w:rPr>
          <w:sz w:val="24"/>
          <w:szCs w:val="24"/>
          <w:b w:val="1"/>
          <w:bCs w:val="1"/>
          <w:rtl/>
        </w:rPr>
        <w:t xml:space="preserve">
الأعلام،(دار العلم للملايين - بيروت،2002،ط 15،ج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الميانشي
</w:t>
      </w:r>
    </w:p>
    <w:p>
      <w:pPr/>
      <w:r>
        <w:rPr/>
        <w:t xml:space="preserve">الميانشي  عمر بن عبد المجيد بن عمر بن الحسن بن عمر بن أحمد بن محمد القرشي الميانشي المهدوي أبو حفص، أبو الخطاب، نزيل مكة وشيخ الحرم، المحدث الإمام.</w:t>
      </w:r>
    </w:p>
    <w:p/>
    <w:p>
      <w:pPr/>
      <w:r>
        <w:rPr/>
        <w:t xml:space="preserve">أخذ بالمهدية عن الإمام المازري، وتروى عنه مع الإمام المازري حكاية قال: صليت خلف الإمام أبي عبد الله المازري، فسمعته يقرأ بسم الله الرحمن الرحيم الحمد لله رب العالمين.</w:t>
      </w:r>
    </w:p>
    <w:p/>
    <w:p>
      <w:pPr/>
      <w:r>
        <w:rPr/>
        <w:t xml:space="preserve">فلما خلوت به قلت له: يا سيدي سمعتك تقرأ في صلاة الفريضة - كذا - فقال لي: أوقد سمعت ذلك يا عمر؟ .</w:t>
      </w:r>
    </w:p>
    <w:p/>
    <w:p>
      <w:pPr/>
      <w:r>
        <w:rPr/>
        <w:t xml:space="preserve">فقلت له: أنت إمام في مذهب مالك، ولا بد أن تخبرني.</w:t>
      </w:r>
    </w:p>
    <w:p/>
    <w:p>
      <w:pPr/>
      <w:r>
        <w:rPr/>
        <w:t xml:space="preserve">فقال لي: اسمع يا عمر: قول واحد في مذهب مالك أن من قرأ بسم الله الرحمن الرحيم في الفريضة لا تبطل صلاته، وقول واحد في مذهب الشافعي: أن من لم يقرأ بسم الله الرحمن الرحيم بطلت صلاته، فأنا أفعل ما لا تبطل به صلاتي في مذهب إمامي، وتبطل في مذهب الغير، كي أخرج من الخلاف (ينظر ملء العيبة لابن رشيد تحقيق د. الشيخ محمد الحبيب ابن الخوجة مفتي الديار التونسية (تونس بدون تاريخ) 3/ 246).</w:t>
      </w:r>
    </w:p>
    <w:p/>
    <w:p>
      <w:pPr/>
      <w:r>
        <w:rPr/>
        <w:t xml:space="preserve">وروى عن محمد بن علي بن ياسر الأنصاري الجياني الأندلسي نزيل حلب والمتوفى بها سنة 563، ومحمد بن قاسم بن عبد الرحمن التميمي الفاسي، وأجازه وتناول من أبي عبد الله محمد الرازي سداسياته، وحدث بمصر في طريقه إلى مكة وسمع منه كثيرون، وهو من شيوخ محي الدين بن العربي وأجازه إجازة عامة (ينظر جامع كرامات الأولياء 1/ 205) وممن روى عنه حفيده للبنت المحدث الرحال أبو علي الحسن بن محمد البكري النيسابوري الأصل الدمشقي، وعلي بن أحمد بن عبد الله بن خيرة البلنسي، وعلي بن أحمد بن محمد بن كوثر المحاربي الغرناطي، وعلي بن هشام الشريشي، وابن جبير الكناني الأندلسي، ومحمد بن أحمد بن محمد الأنصاري المروي الأندرشي المعروف بابن البلنسي، وابن اليتيم، فأكثر عنه، ومحمد بن حسن بن عبد الله الأنصاري المالقي ابن الحاج، وابن صاحب الصلاة، ومحمد بن علي بن خلف التجيبي الإشبيلي، وروى رسالة التصوف للقشيري أيوب بن عبد الله الفهري، وسمع منه محمد بن الحسين بن محمد القزويني دفين الموصل، وفياض بن موسى بن حسن اللكي نسبة إلى لك من أعمال برقة ويوسف بن أبي بكر الصوفي الواسطي المعروف بابن صقير وهو جد شيخ الحرم الخطيب أبي الربيع سليمان بن خليل بن إبراهيم الكناني العسقلاني الأصل لأمه.</w:t>
      </w:r>
    </w:p>
    <w:p/>
    <w:p>
      <w:pPr/>
      <w:r>
        <w:rPr/>
        <w:t xml:space="preserve">مؤلفاته:</w:t>
      </w:r>
    </w:p>
    <w:p/>
    <w:p>
      <w:pPr/>
      <w:r>
        <w:rPr/>
        <w:t xml:space="preserve">1 - المجالس المكية في الأحاديث النبوية، ذكره في «فهرس الفهارس» 2/ 141 في ترجمة والده وذكر أنه من أصل عتيق بخط الحافظ أبي العلا العراقي. قيل روى فيه أحاديث باطلة. سمعه فتوح بن بنين بن عبد الرحمن المكي الصوفي (برنامج التجيبي القاسم بن يوسف السبتي، تحقيق عبد الحفيظ منصور (تونس 1981 م) ص 208.</w:t>
      </w:r>
    </w:p>
    <w:p/>
    <w:p>
      <w:pPr/>
      <w:r>
        <w:rPr/>
        <w:t xml:space="preserve">2 - ما لا يسع المحدث جهله، في مصطلح الحديث، عبر عنه الذهبي بكراس في علم الحديث، وهو تأليف صغير في أوراق معدودات، كتبه قبل وفاته بنحو عامين، ففي كشف الظنون 2/ 1575 «وكتبه بمكة سنة 579 تسع وسبعين وخمسمائة».طبع في بغداد 1387/ 1967 بتحقيق صبحي السامرائي في 23 ص عدا المقدمة.</w:t>
      </w:r>
    </w:p>
    <w:p/>
    <w:p>
      <w:pPr/>
      <w:r>
        <w:rPr/>
        <w:t xml:space="preserve">3 - الاختيار في الملح والأخبار، مخطوط في شستربيتي 4971.</w:t>
      </w:r>
    </w:p>
    <w:p/>
    <w:p>
      <w:pPr/>
      <w:r>
        <w:rPr/>
        <w:t xml:space="preserve">4 - تعليقات على الفردوس في شستربيتي، مخطوط 5169.</w:t>
      </w:r>
    </w:p>
    <w:p/>
    <w:p>
      <w:pPr/>
      <w:r>
        <w:rPr/>
        <w:t xml:space="preserve">المصادر والمراجع:</w:t>
      </w:r>
    </w:p>
    <w:p/>
    <w:p>
      <w:pPr/>
      <w:r>
        <w:rPr/>
        <w:t xml:space="preserve">- الأعلام 5/ 53 (ط 5/).</w:t>
      </w:r>
    </w:p>
    <w:p/>
    <w:p>
      <w:pPr/>
      <w:r>
        <w:rPr/>
        <w:t xml:space="preserve">- تاج العروس (مصر) لمحمد مرتضى الزبيدي 3/ 352.</w:t>
      </w:r>
    </w:p>
    <w:p/>
    <w:p>
      <w:pPr/>
      <w:r>
        <w:rPr/>
        <w:t xml:space="preserve">- تذكرة الحفاظ 4/ 126.</w:t>
      </w:r>
    </w:p>
    <w:p/>
    <w:p>
      <w:pPr/>
      <w:r>
        <w:rPr/>
        <w:t xml:space="preserve">- شذرات الذهب 4/ 472.</w:t>
      </w:r>
    </w:p>
    <w:p/>
    <w:p>
      <w:pPr/>
      <w:r>
        <w:rPr/>
        <w:t xml:space="preserve">- العبر 4/ 245.</w:t>
      </w:r>
    </w:p>
    <w:p/>
    <w:p>
      <w:pPr/>
      <w:r>
        <w:rPr/>
        <w:t xml:space="preserve">- معجم البلدان 8/ 219.</w:t>
      </w:r>
    </w:p>
    <w:p/>
    <w:p>
      <w:pPr/>
      <w:r>
        <w:rPr/>
        <w:t xml:space="preserve">- معجم المؤلفين 7/ 295.</w:t>
      </w:r>
    </w:p>
    <w:p/>
    <w:p>
      <w:pPr/>
      <w:r>
        <w:rPr/>
        <w:t xml:space="preserve">- النجوم الزاهرة 6/ 101.</w:t>
      </w:r>
    </w:p>
    <w:p/>
    <w:p>
      <w:pPr/>
      <w:r>
        <w:rPr/>
        <w:t xml:space="preserve">- العقد الثمين للتقي الفاسي 6/ 234، 237.</w:t>
      </w:r>
    </w:p>
    <w:p/>
    <w:p>
      <w:pPr/>
      <w:r>
        <w:rPr/>
        <w:t xml:space="preserve">- وفي إيضاح المكنون 2/ 153.</w:t>
      </w:r>
    </w:p>
    <w:p/>
    <w:p>
      <w:pPr/>
      <w:r>
        <w:rPr/>
        <w:t xml:space="preserve">- وهدية العارفين 1/ 784 خلط غريب بينه وبين عمر بن عبد المجيد الرندي أبو حفص أبو علي، نزيل مالقة، من تلامذة السهيلي (ت 616/ 1220) وهو مقرئ نحوي، له في النحو تأليفان، والميانشي المهدوي محدث لا اختصاص له في النحو وما إليه، قال البغدادي في «هدية العارفين»: عمر بن عبد المجيد بن حسن الأزدي الرندي المهدوي الميانشي الأندلسي النحوي المقرئ نزيل مالقة المتوفى سنة 579 تسع وسبعين وخمسمائة له الفاخر في شرح جمل عبد القادر. ومثار الاشتباه هو اتفاقهما في الاسم واسم الأب، وإذا كان الأندلسي أزديا فإن الميانشي المهدوي قرشي، والرندي يكون أندلسيا ولا يكون مهدويا تونسيا. هذا مع اختلافهما في تاريخ الوفاة، وما ذكره في تاريخ وفاته سنة 579 لا يوافق تاريخ وفاة المهدوي الميانشي، ولا الرندي الأندلسي، تراجع ترجمة الرندي الأندلسي في بغية الوعاة 2/ 220.</w:t>
      </w:r>
    </w:p>
    <w:p/>
    <w:p>
      <w:pPr/>
      <w:r>
        <w:rPr/>
        <w:t xml:space="preserve">- الذيل والتكملة 2/ 450/5، 454.</w:t>
      </w:r>
    </w:p>
    <w:p/>
    <w:p>
      <w:pPr/>
      <w:r>
        <w:rPr/>
        <w:t xml:space="preserve">- صلة الصلة 67.</w:t>
      </w:r>
    </w:p>
    <w:p/>
    <w:p>
      <w:pPr/>
      <w:r>
        <w:rPr/>
        <w:t xml:space="preserve">- برنامج الرعيني 86، 87.</w:t>
      </w:r>
    </w:p>
    <w:p/>
    <w:p>
      <w:pPr/>
      <w:r>
        <w:rPr/>
        <w:t xml:space="preserve">- غاية النهاية 1/ 594.</w:t>
      </w:r>
    </w:p>
    <w:p/>
    <w:p>
      <w:pPr/>
      <w:r>
        <w:rPr/>
        <w:t xml:space="preserve">- كشف الظنون 1575.</w:t>
      </w:r>
    </w:p>
    <w:p/>
    <w:p>
      <w:pPr/>
      <w:r>
        <w:rPr/>
        <w:t xml:space="preserve">- تذكرة الحفاظ 4/ 1337 (دار إحياء التراث العربي، بيروت) في من توفي سنة وفاة أبي موسى المديني.</w:t>
      </w:r>
    </w:p>
    <w:p>
      <w:pPr>
        <w:jc w:val="start"/>
        <w:bidi/>
      </w:pPr>
      <w:r>
        <w:rPr>
          <w:sz w:val="24"/>
          <w:szCs w:val="24"/>
          <w:b w:val="1"/>
          <w:bCs w:val="1"/>
          <w:rtl/>
        </w:rPr>
        <w:t xml:space="preserve">
تراجم المؤلفين التونسيين،(دار الغرب الإسلامي، بيروت - لبنان،1994،ط 2،ج 4،ص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الميانشي
</w:t>
      </w:r>
    </w:p>
    <w:p>
      <w:pPr/>
      <w:r>
        <w:rPr/>
        <w:t xml:space="preserve">الميانشي: </w:t>
      </w:r>
    </w:p>
    <w:p/>
    <w:p>
      <w:pPr/>
      <w:r>
        <w:rPr/>
        <w:t xml:space="preserve">خطيب مكة، هو أبو حفص عمر بن عبد المجيد القرشي المالكي.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2026-04-30T08:16:29+03:00</dcterms:created>
  <dcterms:modified xsi:type="dcterms:W3CDTF">2026-04-30T08:16:29+03:00</dcterms:modified>
</cp:coreProperties>
</file>

<file path=docProps/custom.xml><?xml version="1.0" encoding="utf-8"?>
<Properties xmlns="http://schemas.openxmlformats.org/officeDocument/2006/custom-properties" xmlns:vt="http://schemas.openxmlformats.org/officeDocument/2006/docPropsVTypes"/>
</file>