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الهباري
</w:t>
      </w:r>
    </w:p>
    <w:p>
      <w:pPr>
        <w:jc w:val="start"/>
        <w:bidi/>
      </w:pPr>
      <w:r>
        <w:rPr>
          <w:rFonts w:ascii="arial" w:hAnsi="arial" w:eastAsia="arial" w:cs="arial"/>
          <w:sz w:val="28"/>
          <w:szCs w:val="28"/>
          <w:b w:val="1"/>
          <w:bCs w:val="1"/>
          <w:rtl/>
        </w:rPr>
        <w:t xml:space="preserve">الهباري
</w:t>
      </w:r>
    </w:p>
    <w:p>
      <w:pPr/>
      <w:r>
        <w:rPr/>
        <w:t xml:space="preserve">الهباري  عمر بن عبد العزيز بن المنذر بن الزبير (أو الربيع) بن عبد الرحمن بن هبار المطلبي الأسدي القرشي: أول من ملك السند، من بني هبار. كان مقيما في بعض نواحيها. ولما وقعت الفتنة بين النزارية واليمانية في ولاية عمران بن موسى (انظر ترجمته) سار عمر إليه، وقتله وهو غافل (نحو سنة 226هـ) وولى المعتصم العباسي عنبسة بن إسحاق الضبي، على السند، فأذعن له عمر بالطاعة. ثم سنحت له فرصة (سنة 240 هـ) فوثب واستولى على الإمارة السند إثر قتل المتوكل، وجعل قاعدته (المنصورة) وتوارث الإمارة بنوه من بعده إلى أن انقطع أمرهم على يد محمود بن سبكتكين صاحب غزنة وما وراء النهر من خراسان. </w:t>
      </w:r>
    </w:p>
    <w:p>
      <w:pPr>
        <w:jc w:val="start"/>
        <w:bidi/>
      </w:pPr>
      <w:r>
        <w:rPr>
          <w:sz w:val="24"/>
          <w:szCs w:val="24"/>
          <w:b w:val="1"/>
          <w:bCs w:val="1"/>
          <w:rtl/>
        </w:rPr>
        <w:t xml:space="preserve">
الأعلام،(دار العلم للملايين - بيروت،2002،ط 15،ج 5،ص 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2026-07-18T03:02:07+03:00</dcterms:created>
  <dcterms:modified xsi:type="dcterms:W3CDTF">2026-07-18T03:02:07+03:00</dcterms:modified>
</cp:coreProperties>
</file>

<file path=docProps/custom.xml><?xml version="1.0" encoding="utf-8"?>
<Properties xmlns="http://schemas.openxmlformats.org/officeDocument/2006/custom-properties" xmlns:vt="http://schemas.openxmlformats.org/officeDocument/2006/docPropsVTypes"/>
</file>