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المظفر الأيوبي
</w:t>
      </w:r>
    </w:p>
    <w:p>
      <w:pPr>
        <w:jc w:val="start"/>
        <w:bidi/>
      </w:pPr>
      <w:r>
        <w:rPr>
          <w:rFonts w:ascii="arial" w:hAnsi="arial" w:eastAsia="arial" w:cs="arial"/>
          <w:sz w:val="28"/>
          <w:szCs w:val="28"/>
          <w:b w:val="1"/>
          <w:bCs w:val="1"/>
          <w:rtl/>
        </w:rPr>
        <w:t xml:space="preserve">المظفر الأيوبي
</w:t>
      </w:r>
    </w:p>
    <w:p>
      <w:pPr/>
      <w:r>
        <w:rPr/>
        <w:t xml:space="preserve">المظفر الأيوبي  عمر بن شاهنشاه بن أيوب، تقي الدين، الملقب بالمظفر: أمير. كان صاحب حماة. وهو ابن أخي السلطان صلاح الدين. وكان شجاعا مظفرا، له مواقف مع الإفرنج. ولد بالفيوم (بمصر) وولى الولايات، وناب عن عمه في الديار المصرية، ثم أعطاه حماة سنة 582هـ ، فسكنها. وحاصر قلعة منازكرد (من نواحي خلاط) ليأخذها، فتوفى على أبوابها، ودفن في حماة. قال أبو الفداء: كان المظفر ركنا عظيما من أركان البيت الأيوبي، وكان عنده فضل وأدب، وله شعر حسن. </w:t>
      </w:r>
    </w:p>
    <w:p>
      <w:pPr>
        <w:jc w:val="start"/>
        <w:bidi/>
      </w:pPr>
      <w:r>
        <w:rPr>
          <w:sz w:val="24"/>
          <w:szCs w:val="24"/>
          <w:b w:val="1"/>
          <w:bCs w:val="1"/>
          <w:rtl/>
        </w:rPr>
        <w:t xml:space="preserve">
الأعلام،(دار العلم للملايين - بيروت،2002،ط 15،ج 5،ص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2026-04-30T07:14:20+03:00</dcterms:created>
  <dcterms:modified xsi:type="dcterms:W3CDTF">2026-04-30T07:14:20+03:00</dcterms:modified>
</cp:coreProperties>
</file>

<file path=docProps/custom.xml><?xml version="1.0" encoding="utf-8"?>
<Properties xmlns="http://schemas.openxmlformats.org/officeDocument/2006/custom-properties" xmlns:vt="http://schemas.openxmlformats.org/officeDocument/2006/docPropsVTypes"/>
</file>