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مفلح
</w:t>
      </w:r>
    </w:p>
    <w:p>
      <w:pPr>
        <w:jc w:val="start"/>
        <w:bidi/>
      </w:pPr>
      <w:r>
        <w:rPr>
          <w:rFonts w:ascii="arial" w:hAnsi="arial" w:eastAsia="arial" w:cs="arial"/>
          <w:sz w:val="28"/>
          <w:szCs w:val="28"/>
          <w:b w:val="1"/>
          <w:bCs w:val="1"/>
          <w:rtl/>
        </w:rPr>
        <w:t xml:space="preserve">ابن مفلح
</w:t>
      </w:r>
    </w:p>
    <w:p>
      <w:pPr/>
      <w:r>
        <w:rPr/>
        <w:t xml:space="preserve">ابن مفلح  عمر بن إبراهيم بن محمد بن مفلح، أبو حفص، نظام الدين، الراميني المقدسي الصالحي: قاض حنبلي، من أهل الصالحية (بدمشق) مولدا ووفاة. ناب في القضاء بدمشق ثم بالقاهرة، واستقل بقضاء غزة سنة 850 وكان أول حنبلي ولى قضاءها. واستقل بالقضاء أيضا في الشام سنة 833 وعزل وأعيد ثم انقطع إلى التدريس. وحدث بمصر والشام وبيت المقدس وغيره. وأنشأ مدرسة دار الحديث النظامية في شرقي الصالحية. قال السخاوي: أخذ عنه الفضلاء والأئمة، وأكثرت عنه حين لقيته بالقاهرة والصالحية. </w:t>
      </w:r>
    </w:p>
    <w:p>
      <w:pPr>
        <w:jc w:val="start"/>
        <w:bidi/>
      </w:pPr>
      <w:r>
        <w:rPr>
          <w:sz w:val="24"/>
          <w:szCs w:val="24"/>
          <w:b w:val="1"/>
          <w:bCs w:val="1"/>
          <w:rtl/>
        </w:rPr>
        <w:t xml:space="preserve">
الأعلام،(دار العلم للملايين - بيروت،2002،ط 15،ج 5،ص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2026-04-30T04:53:21+03:00</dcterms:created>
  <dcterms:modified xsi:type="dcterms:W3CDTF">2026-04-30T04:53:21+03:00</dcterms:modified>
</cp:coreProperties>
</file>

<file path=docProps/custom.xml><?xml version="1.0" encoding="utf-8"?>
<Properties xmlns="http://schemas.openxmlformats.org/officeDocument/2006/custom-properties" xmlns:vt="http://schemas.openxmlformats.org/officeDocument/2006/docPropsVTypes"/>
</file>