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 بن محمد
</w:t>
      </w:r>
    </w:p>
    <w:p>
      <w:pPr>
        <w:jc w:val="start"/>
        <w:bidi/>
      </w:pPr>
      <w:r>
        <w:rPr>
          <w:rFonts w:ascii="arial" w:hAnsi="arial" w:eastAsia="arial" w:cs="arial"/>
          <w:sz w:val="28"/>
          <w:szCs w:val="28"/>
          <w:b w:val="1"/>
          <w:bCs w:val="1"/>
          <w:rtl/>
        </w:rPr>
        <w:t xml:space="preserve">عمار بن محمد
</w:t>
      </w:r>
    </w:p>
    <w:p>
      <w:pPr/>
      <w:r>
        <w:rPr/>
        <w:t xml:space="preserve">عمار بن محمد  عمار بن محمد، أبو الحسين: من وزراء الدولة الفاطمية بمصر. تولى ديوان الإنشاء في أيام الحاكم بأمر الله، وجعلت له الوساطة بين الخليفة وطوائف المشارقة والأتراك. ولقب بالأمير الخطير رئيس الرؤساء. واستمر إلى خلافة الظاهر لإعزاز دين الله (الفاطمي) سنة 411 فخلع عليه للوساطة. ثم عزل، بعد سبعة أشهر وأيام، وقتل. </w:t>
      </w:r>
    </w:p>
    <w:p>
      <w:pPr>
        <w:jc w:val="start"/>
        <w:bidi/>
      </w:pPr>
      <w:r>
        <w:rPr>
          <w:sz w:val="24"/>
          <w:szCs w:val="24"/>
          <w:b w:val="1"/>
          <w:bCs w:val="1"/>
          <w:rtl/>
        </w:rPr>
        <w:t xml:space="preserve">
الأعلام،(دار العلم للملايين - بيروت،2002،ط 15،ج 5،ص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2026-04-30T04:34:17+03:00</dcterms:created>
  <dcterms:modified xsi:type="dcterms:W3CDTF">2026-04-30T04:34:17+03:00</dcterms:modified>
</cp:coreProperties>
</file>

<file path=docProps/custom.xml><?xml version="1.0" encoding="utf-8"?>
<Properties xmlns="http://schemas.openxmlformats.org/officeDocument/2006/custom-properties" xmlns:vt="http://schemas.openxmlformats.org/officeDocument/2006/docPropsVTypes"/>
</file>