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العكاري
</w:t>
      </w:r>
    </w:p>
    <w:p>
      <w:pPr>
        <w:jc w:val="start"/>
        <w:bidi/>
      </w:pPr>
      <w:r>
        <w:rPr>
          <w:rFonts w:ascii="arial" w:hAnsi="arial" w:eastAsia="arial" w:cs="arial"/>
          <w:sz w:val="28"/>
          <w:szCs w:val="28"/>
          <w:b w:val="1"/>
          <w:bCs w:val="1"/>
          <w:rtl/>
        </w:rPr>
        <w:t xml:space="preserve">العكاري
</w:t>
      </w:r>
    </w:p>
    <w:p>
      <w:pPr/>
      <w:r>
        <w:rPr/>
        <w:t xml:space="preserve">العكاري  علي بن محمد بن علي، أبو الحسن العكاري: أديب، له اشتغال بالادب والتراجم، وموشحات وأزجال. من أهل الرباط. صنف (البدور الضاوية في ذكر الشيخ - جده - وأصحابه وتلامذته وبناء الزاوية - خ) في خزانة الرباط، صغير، غير كامل. في سيرة جده (علي ابن محمد المتوفى سنة 1118) وتلاميذه. ونقل عنه صاحب الاغتباط كثيرا. وله رسائل أخرى، منها (جوهر القلائد في ذكر نبذة من العقائد) أرجوزة. </w:t>
      </w:r>
    </w:p>
    <w:p>
      <w:pPr>
        <w:jc w:val="start"/>
        <w:bidi/>
      </w:pPr>
      <w:r>
        <w:rPr>
          <w:sz w:val="24"/>
          <w:szCs w:val="24"/>
          <w:b w:val="1"/>
          <w:bCs w:val="1"/>
          <w:rtl/>
        </w:rPr>
        <w:t xml:space="preserve">
الأعلام،(دار العلم للملايين - بيروت،2002،ط 15،ج 5،ص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2026-04-29T23:29:59+03:00</dcterms:created>
  <dcterms:modified xsi:type="dcterms:W3CDTF">2026-04-29T23:29:59+03:00</dcterms:modified>
</cp:coreProperties>
</file>

<file path=docProps/custom.xml><?xml version="1.0" encoding="utf-8"?>
<Properties xmlns="http://schemas.openxmlformats.org/officeDocument/2006/custom-properties" xmlns:vt="http://schemas.openxmlformats.org/officeDocument/2006/docPropsVTypes"/>
</file>