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العكاري، الجد
</w:t>
      </w:r>
    </w:p>
    <w:p>
      <w:pPr>
        <w:jc w:val="start"/>
        <w:bidi/>
      </w:pPr>
      <w:r>
        <w:rPr>
          <w:rFonts w:ascii="arial" w:hAnsi="arial" w:eastAsia="arial" w:cs="arial"/>
          <w:sz w:val="28"/>
          <w:szCs w:val="28"/>
          <w:b w:val="1"/>
          <w:bCs w:val="1"/>
          <w:rtl/>
        </w:rPr>
        <w:t xml:space="preserve">العكاري، الجد
</w:t>
      </w:r>
    </w:p>
    <w:p>
      <w:pPr/>
      <w:r>
        <w:rPr/>
        <w:t xml:space="preserve">العكاري، الجد  علي بن محمد بن علي العكاري نسبا، المراكشي أصلا ومنشج، الرباطي دارا ووفاة: شيخ مدينة ’’الرباط’’. صنف حفيده علي بن محمد، المتوفي (1159) رسالة في مناقبه وتراجم شيوخه وتلاميذه، يأتي ذكرها. ولاحد تلاميذه أبي يعزى المسطاسي رسالة أخرى في ترجمته. مدحه ورثاه كثير من معاصريه. </w:t>
      </w:r>
    </w:p>
    <w:p>
      <w:pPr>
        <w:jc w:val="start"/>
        <w:bidi/>
      </w:pPr>
      <w:r>
        <w:rPr>
          <w:sz w:val="24"/>
          <w:szCs w:val="24"/>
          <w:b w:val="1"/>
          <w:bCs w:val="1"/>
          <w:rtl/>
        </w:rPr>
        <w:t xml:space="preserve">
الأعلام،(دار العلم للملايين - بيروت،2002،ط 15،ج 5،ص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2026-07-17T20:24:07+03:00</dcterms:created>
  <dcterms:modified xsi:type="dcterms:W3CDTF">2026-07-17T20:24:07+03:00</dcterms:modified>
</cp:coreProperties>
</file>

<file path=docProps/custom.xml><?xml version="1.0" encoding="utf-8"?>
<Properties xmlns="http://schemas.openxmlformats.org/officeDocument/2006/custom-properties" xmlns:vt="http://schemas.openxmlformats.org/officeDocument/2006/docPropsVTypes"/>
</file>