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ابن حنا
</w:t>
      </w:r>
    </w:p>
    <w:p>
      <w:pPr>
        <w:jc w:val="start"/>
        <w:bidi/>
      </w:pPr>
      <w:r>
        <w:rPr>
          <w:rFonts w:ascii="arial" w:hAnsi="arial" w:eastAsia="arial" w:cs="arial"/>
          <w:sz w:val="28"/>
          <w:szCs w:val="28"/>
          <w:b w:val="1"/>
          <w:bCs w:val="1"/>
          <w:rtl/>
        </w:rPr>
        <w:t xml:space="preserve">بهاء الدين ابن حنا
</w:t>
      </w:r>
    </w:p>
    <w:p>
      <w:pPr/>
      <w:r>
        <w:rPr/>
        <w:t xml:space="preserve">بهاء الدين ابن حنا  علي بن محمد بن سليم المصري، المعروف ببهاء الدين ابن حنا: وزير. كان من أكابر الرجال في عصره، حزما وعزما ورأيا ودهاءا وخبرة. مولده ووفاته بمصر. استوزره (الظاهر) وفوض إليه الأمور، فقام بأعباء المملكة إلى أن مات (الظاهر) وولى ابنه سعيد، فثبت في وزارته إلى أن توفى. </w:t>
      </w:r>
    </w:p>
    <w:p>
      <w:pPr>
        <w:jc w:val="start"/>
        <w:bidi/>
      </w:pPr>
      <w:r>
        <w:rPr>
          <w:sz w:val="24"/>
          <w:szCs w:val="24"/>
          <w:b w:val="1"/>
          <w:bCs w:val="1"/>
          <w:rtl/>
        </w:rPr>
        <w:t xml:space="preserve">
الأعلام،(دار العلم للملايين - بيروت،2002،ط 15،ج 4،ص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2026-07-17T18:23:05+03:00</dcterms:created>
  <dcterms:modified xsi:type="dcterms:W3CDTF">2026-07-17T18:23:05+03:00</dcterms:modified>
</cp:coreProperties>
</file>

<file path=docProps/custom.xml><?xml version="1.0" encoding="utf-8"?>
<Properties xmlns="http://schemas.openxmlformats.org/officeDocument/2006/custom-properties" xmlns:vt="http://schemas.openxmlformats.org/officeDocument/2006/docPropsVTypes"/>
</file>