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الزنج
</w:t>
      </w:r>
    </w:p>
    <w:p>
      <w:pPr>
        <w:jc w:val="start"/>
        <w:bidi/>
      </w:pPr>
      <w:r>
        <w:rPr>
          <w:rFonts w:ascii="arial" w:hAnsi="arial" w:eastAsia="arial" w:cs="arial"/>
          <w:sz w:val="28"/>
          <w:szCs w:val="28"/>
          <w:b w:val="1"/>
          <w:bCs w:val="1"/>
          <w:rtl/>
        </w:rPr>
        <w:t xml:space="preserve">صاحب الزنج
</w:t>
      </w:r>
    </w:p>
    <w:p>
      <w:pPr/>
      <w:r>
        <w:rPr/>
        <w:t xml:space="preserve">صاحب الزنج  علي بن محمد الورزنيني العلوي، الملقب بصاحب الزنج: من كبار أصحاب الفتن في العهد العباسي. وفتنته معروفة بفتنة الزنج لأن أكثر أنصاره منهم. ولد ونشأ في (ورزنين) إحدى قرى الري. وظهر في أيام المهتدي بالله العباسي سنة 255هـ ، وكان يرى رأى الأزارقة. والتف حوله سودان أهل البصرة ورعاعها. فامتلكها واستولى على الأبلة. وتتابعت لقتاله الجيوش، فكان يظهر عليها ويشتتها. ونزل البطائح، وامتلك الأهواز، وأغار على واسط، وبلغ عدد جيشه ثلاثمئة ألف مقاتل. وجعل مقامه في قصر اتخذه بالمختارة. وعجز عن قتاله الخلفاء، حتى ظفر به (الموفق بالله) في أيام المعتمد، فقتله وبعث برأسه إلى بغداد. قال المرزباني: تروى له أشعار كثيرة في البسالة والفتك، كان يقولها وينحلها لغيره. وفي نسبه (العلوي) طعن وخلاف.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2026-04-29T17:15:15+03:00</dcterms:created>
  <dcterms:modified xsi:type="dcterms:W3CDTF">2026-04-29T17:15:15+03:00</dcterms:modified>
</cp:coreProperties>
</file>

<file path=docProps/custom.xml><?xml version="1.0" encoding="utf-8"?>
<Properties xmlns="http://schemas.openxmlformats.org/officeDocument/2006/custom-properties" xmlns:vt="http://schemas.openxmlformats.org/officeDocument/2006/docPropsVTypes"/>
</file>