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محسن بن فضل العبدلي: من سلاطين هذه الأسرة بلحج. تسلطن بعد وفاة أخيه أحمد (1265) وأكمل المعاهدة مع الإنكليز وكان أخوه قد بدأ بها، فجعل فيها (حارسا) لرعاياهم ولتجارتهم، على أن يصرفوا له من حساب حكومة الهند 541 ريالا نمساويا كل شهر. وحصلت في أيامه منازعات بين أقارب له وجيرانهم انتهت بالصلح إلى أن مات، وقامت بعده الفتنة بين إخوته.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2026-07-17T16:06:39+03:00</dcterms:created>
  <dcterms:modified xsi:type="dcterms:W3CDTF">2026-07-17T16:06:39+03:00</dcterms:modified>
</cp:coreProperties>
</file>

<file path=docProps/custom.xml><?xml version="1.0" encoding="utf-8"?>
<Properties xmlns="http://schemas.openxmlformats.org/officeDocument/2006/custom-properties" xmlns:vt="http://schemas.openxmlformats.org/officeDocument/2006/docPropsVTypes"/>
</file>