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فكري
</w:t>
      </w:r>
    </w:p>
    <w:p>
      <w:pPr>
        <w:jc w:val="start"/>
        <w:bidi/>
      </w:pPr>
      <w:r>
        <w:rPr>
          <w:rFonts w:ascii="arial" w:hAnsi="arial" w:eastAsia="arial" w:cs="arial"/>
          <w:sz w:val="28"/>
          <w:szCs w:val="28"/>
          <w:b w:val="1"/>
          <w:bCs w:val="1"/>
          <w:rtl/>
        </w:rPr>
        <w:t xml:space="preserve">علي فكري
</w:t>
      </w:r>
    </w:p>
    <w:p>
      <w:pPr/>
      <w:r>
        <w:rPr/>
        <w:t xml:space="preserve">علي فكري  علي فكري ابن الدكتور محمد عبد الله، يتصل نسبه بالحسين: فاضل كثير المصنفات مولده ووفاته بالقاهرة. عمل في التدريس ثم كان أحد الكتاب بوزارة المعارف، ونقل إلى دار الكتب المصرية سنة 1913م، فكان رئيس المغيرين بها. وصنف من الكتب (القرآن ينبوع العلوم والعرفان - ط) ثلاثة اجزاء، و (آداب الفتى - ط) و (آداب الفتاة - ط) و (عظة النساء - ط) و (مسامرات البنات - ط) جزآن، و (المكاتبات الفكرية - ط) و (دليل العملة والمعاملة - ط) و (سعادة الزوجين - ط) و (التربية الاجتماعية - ط) و (سبيل النجاح - ط) و (تربية البنين - ط) و (الإنسان - ط) جزآن، و (الآداب الإسلامية - ط) و (تقويم الأخلاق - ط). </w:t>
      </w:r>
    </w:p>
    <w:p>
      <w:pPr>
        <w:jc w:val="start"/>
        <w:bidi/>
      </w:pPr>
      <w:r>
        <w:rPr>
          <w:sz w:val="24"/>
          <w:szCs w:val="24"/>
          <w:b w:val="1"/>
          <w:bCs w:val="1"/>
          <w:rtl/>
        </w:rPr>
        <w:t xml:space="preserve">
الأعلام،(دار العلم للملايين - بيروت،2002،ط 15،ج 4،ص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2026-07-17T15:22:14+03:00</dcterms:created>
  <dcterms:modified xsi:type="dcterms:W3CDTF">2026-07-17T15:22:14+03:00</dcterms:modified>
</cp:coreProperties>
</file>

<file path=docProps/custom.xml><?xml version="1.0" encoding="utf-8"?>
<Properties xmlns="http://schemas.openxmlformats.org/officeDocument/2006/custom-properties" xmlns:vt="http://schemas.openxmlformats.org/officeDocument/2006/docPropsVTypes"/>
</file>