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عراق
</w:t>
      </w:r>
    </w:p>
    <w:p>
      <w:pPr>
        <w:jc w:val="start"/>
        <w:bidi/>
      </w:pPr>
      <w:r>
        <w:rPr>
          <w:rFonts w:ascii="arial" w:hAnsi="arial" w:eastAsia="arial" w:cs="arial"/>
          <w:sz w:val="28"/>
          <w:szCs w:val="28"/>
          <w:b w:val="1"/>
          <w:bCs w:val="1"/>
          <w:rtl/>
        </w:rPr>
        <w:t xml:space="preserve">علي بن عراق
</w:t>
      </w:r>
    </w:p>
    <w:p>
      <w:pPr/>
      <w:r>
        <w:rPr/>
        <w:t xml:space="preserve">علي بن عراق  علي بن عراق الصناري الخوارزمي: لغوي مفسر، تفقه في بخارى. له (شماريخ الدرر) في تفسير القرآن. </w:t>
      </w:r>
    </w:p>
    <w:p>
      <w:pPr>
        <w:jc w:val="start"/>
        <w:bidi/>
      </w:pPr>
      <w:r>
        <w:rPr>
          <w:sz w:val="24"/>
          <w:szCs w:val="24"/>
          <w:b w:val="1"/>
          <w:bCs w:val="1"/>
          <w:rtl/>
        </w:rPr>
        <w:t xml:space="preserve">
الأعلام،(دار العلم للملايين - بيروت،2002،ط 15،ج 4،ص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عراق الصناري، أبو الحسن الخوارزمي
</w:t>
      </w:r>
    </w:p>
    <w:p>
      <w:pPr/>
      <w:r>
        <w:rPr/>
        <w:t xml:space="preserve">علي بن عراق الصناري، أبو الحسن الخوارزمي: مات سنة تسع وثلاثين وخمسمائة بمذانة، قرية من قرى خوارزم، ذكر ذلك أبو محمد محمود بن محمد بن أرسلان في «تاريخ خوارزم» وقال: كان نحويا لغويا عروضيا فقيها مفسرا مذكرا، قرأ الأدب على الشيخ أبي علي الضرير النيسابوري، والفقه بخوارزم على الإمام أبي عبد الله الوبري، ثم ارتحل في الفقه الى بخارى فتفقه بها على مشايخها، ثم عاد الى جرجانية خوارزم فتكلم في مسائل مع أئمتها، ثم تحول إلى قرية مذانة وتوطنها، وكان يعظ في المسجد الجامع بها غداة الجمعة، وكان يحفظ اللغات الغريبة والأشعار العويصة وصنف «كتاب شماريخ الدرر» في تفسير القرآن ولما فرغ منه كتب في آخره:</w:t>
      </w:r>
    </w:p>
    <w:p/>
    <w:p>
      <w:pPr>
        <w:jc w:val="center"/>
      </w:pPr>
      <w:r>
        <w:rPr>
          <w:color w:val="ff0000"/>
        </w:rPr>
        <w:t xml:space="preserve">فرغنا من كتابته عشيا</w:t>
      </w:r>
      <w:r>
        <w:rPr>
          <w:color w:val="ff0000"/>
        </w:rPr>
        <w:t xml:space="preserve">      </w:t>
      </w:r>
      <w:r>
        <w:rPr>
          <w:color w:val="ff0000"/>
        </w:rPr>
        <w:t xml:space="preserve">وكان الله في عوني وليا</w:t>
      </w:r>
    </w:p>
    <w:p/>
    <w:p>
      <w:pPr>
        <w:jc w:val="center"/>
      </w:pPr>
      <w:r>
        <w:rPr>
          <w:color w:val="ff0000"/>
        </w:rPr>
        <w:t xml:space="preserve">وقد أدرجته نكتا حسانا</w:t>
      </w:r>
      <w:r>
        <w:rPr>
          <w:color w:val="ff0000"/>
        </w:rPr>
        <w:t xml:space="preserve">      </w:t>
      </w:r>
      <w:r>
        <w:rPr>
          <w:color w:val="ff0000"/>
        </w:rPr>
        <w:t xml:space="preserve">ومعنى يشبه الرطب الجنيا</w:t>
      </w:r>
    </w:p>
    <w:p/>
    <w:p>
      <w:pPr/>
      <w:r>
        <w:rPr/>
        <w:t xml:space="preserve">قال: وقرأت بخط أبي عمرو البقال: كان من لطائف الصناري إذا نام واحد من</w:t>
      </w:r>
    </w:p>
    <w:p/>
    <w:p>
      <w:pPr/>
      <w:r>
        <w:rPr/>
        <w:t xml:space="preserve">أهل الرستاق في مجلسه ناداه من على المنبر بأعلى صوته يا أيها التيس المذانقي اترك المنام واسمع الكلام، ثم ينشد:</w:t>
      </w:r>
    </w:p>
    <w:p/>
    <w:p>
      <w:pPr>
        <w:jc w:val="center"/>
      </w:pPr>
      <w:r>
        <w:rPr>
          <w:color w:val="ff0000"/>
        </w:rPr>
        <w:t xml:space="preserve">وصاحب نبهته لينهضا</w:t>
      </w:r>
      <w:r>
        <w:rPr>
          <w:color w:val="ff0000"/>
        </w:rPr>
        <w:t xml:space="preserve">      </w:t>
      </w:r>
      <w:r>
        <w:rPr>
          <w:color w:val="ff0000"/>
        </w:rPr>
        <w:t xml:space="preserve">إذا الكرى في عينه تمضمضا</w:t>
      </w:r>
    </w:p>
    <w:p/>
    <w:p>
      <w:pPr>
        <w:jc w:val="center"/>
      </w:pPr>
      <w:r>
        <w:rPr>
          <w:color w:val="ff0000"/>
        </w:rPr>
        <w:t xml:space="preserve">فقام عجلان وما تأرضا</w:t>
      </w:r>
      <w:r>
        <w:rPr>
          <w:color w:val="ff0000"/>
        </w:rPr>
        <w:t xml:space="preserve">      </w:t>
      </w:r>
      <w:r>
        <w:rPr>
          <w:color w:val="ff0000"/>
        </w:rPr>
        <w:t xml:space="preserve">يمسح بالكفين وجها أبيضا</w:t>
      </w:r>
    </w:p>
    <w:p/>
    <w:p>
      <w:pPr/>
      <w:r>
        <w:rPr/>
        <w:t xml:space="preserve">ثم يقول: تمضمض من النعاس إذا دب في عينه، ومنه المضمضة في الوضوء سميت بذلك لأن الغاسل يمضمض الماء في فمه أي يدبها ويجريها فيه.</w:t>
      </w:r>
    </w:p>
    <w:p>
      <w:pPr>
        <w:jc w:val="start"/>
        <w:bidi/>
      </w:pPr>
      <w:r>
        <w:rPr>
          <w:sz w:val="24"/>
          <w:szCs w:val="24"/>
          <w:b w:val="1"/>
          <w:bCs w:val="1"/>
          <w:rtl/>
        </w:rPr>
        <w:t xml:space="preserve">
معجم الأدباء / إرشاد الأريب إلى معرفة الأديب،(دار الغرب الإسلامي - بيروت،1993،ط 0،ج 4،ص 1820)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2026-04-29T14:54:33+03:00</dcterms:created>
  <dcterms:modified xsi:type="dcterms:W3CDTF">2026-04-29T14:54:33+03:00</dcterms:modified>
</cp:coreProperties>
</file>

<file path=docProps/custom.xml><?xml version="1.0" encoding="utf-8"?>
<Properties xmlns="http://schemas.openxmlformats.org/officeDocument/2006/custom-properties" xmlns:vt="http://schemas.openxmlformats.org/officeDocument/2006/docPropsVTypes"/>
</file>