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البحراني
</w:t>
      </w:r>
    </w:p>
    <w:p>
      <w:pPr>
        <w:jc w:val="start"/>
        <w:bidi/>
      </w:pPr>
      <w:r>
        <w:rPr>
          <w:rFonts w:ascii="arial" w:hAnsi="arial" w:eastAsia="arial" w:cs="arial"/>
          <w:sz w:val="28"/>
          <w:szCs w:val="28"/>
          <w:b w:val="1"/>
          <w:bCs w:val="1"/>
          <w:rtl/>
        </w:rPr>
        <w:t xml:space="preserve">البحراني
</w:t>
      </w:r>
    </w:p>
    <w:p>
      <w:pPr/>
      <w:r>
        <w:rPr/>
        <w:t xml:space="preserve">البحراني  علي بن عبد الله بن علي البحراني، نزيل مسقط: فقيه إمامي. ولد في البحرين، وانتقل إلى (مطرح) حيث تقيم الطائفة (الحيدرآبادية) فمكث فيها إماما. ثم غادرها إلى لنجة (إحدى موانئ إيران الشمالية، على خليج فارس) فتوفي بها مسموما. من كتبه (لسان الصدق - ط) و (منار الهدى - ط) في الإمامة، و (الأجوبة العلية للمسائل المسقطية - ط) جمعها تلميذه وابن أخته أحمد بن محمد بن أحمد بن سرحان البحراني، ورتبها على ترتيب كتب الفقه. وله رسائل في (التقية) و (المتعة) و (التوحيد). </w:t>
      </w:r>
    </w:p>
    <w:p>
      <w:pPr>
        <w:jc w:val="start"/>
        <w:bidi/>
      </w:pPr>
      <w:r>
        <w:rPr>
          <w:sz w:val="24"/>
          <w:szCs w:val="24"/>
          <w:b w:val="1"/>
          <w:bCs w:val="1"/>
          <w:rtl/>
        </w:rPr>
        <w:t xml:space="preserve">
الأعلام،(دار العلم للملايين - بيروت،2002،ط 15،ج 4،ص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2026-07-17T13:16:23+03:00</dcterms:created>
  <dcterms:modified xsi:type="dcterms:W3CDTF">2026-07-17T13:16:23+03:00</dcterms:modified>
</cp:coreProperties>
</file>

<file path=docProps/custom.xml><?xml version="1.0" encoding="utf-8"?>
<Properties xmlns="http://schemas.openxmlformats.org/officeDocument/2006/custom-properties" xmlns:vt="http://schemas.openxmlformats.org/officeDocument/2006/docPropsVTypes"/>
</file>