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المغربي
</w:t>
      </w:r>
    </w:p>
    <w:p>
      <w:pPr/>
      <w:r>
        <w:rPr/>
        <w:t xml:space="preserve">ابن المغربي  علي بن عبد العزيز بن علي بن جابر المغربي البغدادي، تقي الدين: شاعر، مغربي الأصل، نشأ وتوفي ببغداد. كان من أظرف الناس وأخفهم روحا. من شعره القصيدة التي مطلعها:</w:t>
      </w:r>
    </w:p>
    <w:p/>
    <w:p>
      <w:pPr>
        <w:jc w:val="center"/>
      </w:pPr>
      <w:r>
        <w:rPr>
          <w:color w:val="ff0000"/>
        </w:rPr>
        <w:t xml:space="preserve">ددن دبي ددن دبي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أنا علي بن المغربي</w:t>
      </w:r>
    </w:p>
    <w:p/>
    <w:p>
      <w:pPr>
        <w:jc w:val="center"/>
      </w:pPr>
      <w:r>
        <w:rPr>
          <w:color w:val="ff0000"/>
        </w:rPr>
        <w:t xml:space="preserve">عساكري تهيئى</w:t>
      </w:r>
      <w:r>
        <w:rPr>
          <w:color w:val="ff0000"/>
        </w:rPr>
        <w:t xml:space="preserve">      </w:t>
      </w:r>
      <w:r>
        <w:rPr>
          <w:color w:val="ff0000"/>
        </w:rPr>
        <w:t xml:space="preserve">صناجقي تأهبي</w:t>
      </w:r>
    </w:p>
    <w:p/>
    <w:p>
      <w:pPr>
        <w:jc w:val="center"/>
      </w:pPr>
      <w:r>
        <w:rPr>
          <w:color w:val="ff0000"/>
        </w:rPr>
        <w:t xml:space="preserve">أنا الذي أسد الشري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الحرب لا تحفل بي</w:t>
      </w:r>
    </w:p>
    <w:p/>
    <w:p>
      <w:pPr/>
      <w:r>
        <w:rPr/>
        <w:t xml:space="preserve">له (ديوان مشهور).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2026-07-16T10:19:54+03:00</dcterms:created>
  <dcterms:modified xsi:type="dcterms:W3CDTF">2026-07-16T10:19:54+03:00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