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باي الثاني
</w:t>
      </w:r>
    </w:p>
    <w:p>
      <w:pPr>
        <w:jc w:val="start"/>
        <w:bidi/>
      </w:pPr>
      <w:r>
        <w:rPr>
          <w:rFonts w:ascii="arial" w:hAnsi="arial" w:eastAsia="arial" w:cs="arial"/>
          <w:sz w:val="28"/>
          <w:szCs w:val="28"/>
          <w:b w:val="1"/>
          <w:bCs w:val="1"/>
          <w:rtl/>
        </w:rPr>
        <w:t xml:space="preserve">علي باي الثاني
</w:t>
      </w:r>
    </w:p>
    <w:p>
      <w:pPr/>
      <w:r>
        <w:rPr/>
        <w:t xml:space="preserve">علي باي الثاني  علي بن حسين بن محمود بن محمد الرشيد، أبو الحسن: باي تونس. مولده ووفاته فيها. ولى إمارتها بعد وفاة أخيه الباي محمد الصادق (سنة 1299هـ) وبدأ حكمه بالعفو عن جميع العصاة ورد أملاكهم إليهم. وكانت الأعمال في أيامه، كلها في أيدي الفرنسيين، فبالغ في مسالمة الاستعمار، وعكف على الاشتغال بالفقه، فصنف (مناهج التعريف بأصول التكليف - ط) في فقه الحنفية.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2026-04-29T08:20:49+03:00</dcterms:created>
  <dcterms:modified xsi:type="dcterms:W3CDTF">2026-04-29T08:20:49+03:00</dcterms:modified>
</cp:coreProperties>
</file>

<file path=docProps/custom.xml><?xml version="1.0" encoding="utf-8"?>
<Properties xmlns="http://schemas.openxmlformats.org/officeDocument/2006/custom-properties" xmlns:vt="http://schemas.openxmlformats.org/officeDocument/2006/docPropsVTypes"/>
</file>