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الحريري
</w:t>
      </w:r>
    </w:p>
    <w:p>
      <w:pPr>
        <w:jc w:val="start"/>
        <w:bidi/>
      </w:pPr>
      <w:r>
        <w:rPr>
          <w:rFonts w:ascii="arial" w:hAnsi="arial" w:eastAsia="arial" w:cs="arial"/>
          <w:sz w:val="28"/>
          <w:szCs w:val="28"/>
          <w:b w:val="1"/>
          <w:bCs w:val="1"/>
          <w:rtl/>
        </w:rPr>
        <w:t xml:space="preserve">علي الحريري
</w:t>
      </w:r>
    </w:p>
    <w:p>
      <w:pPr/>
      <w:r>
        <w:rPr/>
        <w:t xml:space="preserve">علي الحريري  علي بن الحسين بن المنصور الحريري، أبو الحسن: متصوف، كان شيخ الفقراء (الحريرية) وهو حوراني الأصل، من عشيرة يقال لهم بنو الزمان. نشأ في دمشق، وأمه منها، وتظاهر بالتصوف، مع مجاهرته بالزندقة وانتهاك الحرمات. ونظم موشحات بعضها بالعامية. واتصل خبره بالملك الصالح، فطلبه، فهرب، فقبض عليه وسجن إلى أن مات. ورثاه النجم ابن إسرائيل بقصيدة جيدة. </w:t>
      </w:r>
    </w:p>
    <w:p>
      <w:pPr>
        <w:jc w:val="start"/>
        <w:bidi/>
      </w:pPr>
      <w:r>
        <w:rPr>
          <w:sz w:val="24"/>
          <w:szCs w:val="24"/>
          <w:b w:val="1"/>
          <w:bCs w:val="1"/>
          <w:rtl/>
        </w:rPr>
        <w:t xml:space="preserve">
الأعلام،(دار العلم للملايين - بيروت،2002،ط 15،ج 4،ص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2026-07-16T05:09:06+03:00</dcterms:created>
  <dcterms:modified xsi:type="dcterms:W3CDTF">2026-07-16T05:09:06+03:00</dcterms:modified>
</cp:coreProperties>
</file>

<file path=docProps/custom.xml><?xml version="1.0" encoding="utf-8"?>
<Properties xmlns="http://schemas.openxmlformats.org/officeDocument/2006/custom-properties" xmlns:vt="http://schemas.openxmlformats.org/officeDocument/2006/docPropsVTypes"/>
</file>