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النجار
</w:t>
      </w:r>
    </w:p>
    <w:p>
      <w:pPr>
        <w:jc w:val="start"/>
        <w:bidi/>
      </w:pPr>
      <w:r>
        <w:rPr>
          <w:rFonts w:ascii="arial" w:hAnsi="arial" w:eastAsia="arial" w:cs="arial"/>
          <w:sz w:val="28"/>
          <w:szCs w:val="28"/>
          <w:b w:val="1"/>
          <w:bCs w:val="1"/>
          <w:rtl/>
        </w:rPr>
        <w:t xml:space="preserve">الشيخ علي النجار
</w:t>
      </w:r>
    </w:p>
    <w:p>
      <w:pPr/>
      <w:r>
        <w:rPr/>
        <w:t xml:space="preserve">الشيخ علي النجار  علي بن حسن بن صالح النجار الطائفي: طبيب، على الطريقة القديمة. من أهل الطائف (بالحجاز) مولده ووفاته فيها. تلقى مبادئ العلوم في صغره، واحترقت النجارة، ثم اتصل ببعض الاطباء من الهنود كالشيخ محمد النواب والشيخ سليم عبد الباري، فدرس طبهم، وبرع فيه، حتى كان الشريف عبد المطلب أمير مكة لا يثق إلا به. وأقبل عليه أهل بلاده، فكان يعالج فقراءهم ويعطيهم الادوية مجانا. وألف رسالتين إحداهما في (استخراج الاملاح) والثانية في (استخراج الادهان) وكان قوي البنية لم يمرض في حياته الا مرض موته ثلاثة أيام.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2026-04-29T06:25:32+03:00</dcterms:created>
  <dcterms:modified xsi:type="dcterms:W3CDTF">2026-04-29T06:25:32+03:00</dcterms:modified>
</cp:coreProperties>
</file>

<file path=docProps/custom.xml><?xml version="1.0" encoding="utf-8"?>
<Properties xmlns="http://schemas.openxmlformats.org/officeDocument/2006/custom-properties" xmlns:vt="http://schemas.openxmlformats.org/officeDocument/2006/docPropsVTypes"/>
</file>