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بن صالح
</w:t>
      </w:r>
    </w:p>
    <w:p>
      <w:pPr>
        <w:jc w:val="start"/>
        <w:bidi/>
      </w:pPr>
      <w:r>
        <w:rPr>
          <w:rFonts w:ascii="arial" w:hAnsi="arial" w:eastAsia="arial" w:cs="arial"/>
          <w:sz w:val="28"/>
          <w:szCs w:val="28"/>
          <w:b w:val="1"/>
          <w:bCs w:val="1"/>
          <w:rtl/>
        </w:rPr>
        <w:t xml:space="preserve">عطية بن صالح
</w:t>
      </w:r>
    </w:p>
    <w:p>
      <w:pPr/>
      <w:r>
        <w:rPr/>
        <w:t xml:space="preserve">عطية بن صالح  عطية بن صالح بن مرداس، أبو ذؤبة، ويلقب بأسد الدولة، من بني كلاب ابن عامر بن صعصة: أمير مرداس. كانت له حلب، تولاها استقلالا بعد وفاة اخيه (ثمال) سنة 454هـ ، وبعهد منه. وحدثت فتنة بين أهل حلب والترك المقيمين فيها، واكثرهم من جنده، فخرج رؤساء الترك إلى حران وفيها محمود بن نصر بن صالح (ابن أخي عطية) فاعانوه على مهاجمة حلب، فامتلكها سنة 457هـ. ولحق عطية بالرقة فملكها مدة. وتغلب عليه شرف الدولة مسلم بن قريش سنة 463هـ ، فانصرف عطية إلى بلاد الروم فمات في القسطنطينية. </w:t>
      </w:r>
    </w:p>
    <w:p>
      <w:pPr>
        <w:jc w:val="start"/>
        <w:bidi/>
      </w:pPr>
      <w:r>
        <w:rPr>
          <w:sz w:val="24"/>
          <w:szCs w:val="24"/>
          <w:b w:val="1"/>
          <w:bCs w:val="1"/>
          <w:rtl/>
        </w:rPr>
        <w:t xml:space="preserve">
الأعلام،(دار العلم للملايين - بيروت،2002،ط 15،ج 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2026-07-15T20:36:34+03:00</dcterms:created>
  <dcterms:modified xsi:type="dcterms:W3CDTF">2026-07-15T20:36:34+03:00</dcterms:modified>
</cp:coreProperties>
</file>

<file path=docProps/custom.xml><?xml version="1.0" encoding="utf-8"?>
<Properties xmlns="http://schemas.openxmlformats.org/officeDocument/2006/custom-properties" xmlns:vt="http://schemas.openxmlformats.org/officeDocument/2006/docPropsVTypes"/>
</file>