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بصري
</w:t>
      </w:r>
    </w:p>
    <w:p>
      <w:pPr>
        <w:jc w:val="start"/>
        <w:bidi/>
      </w:pPr>
      <w:r>
        <w:rPr>
          <w:rFonts w:ascii="arial" w:hAnsi="arial" w:eastAsia="arial" w:cs="arial"/>
          <w:sz w:val="28"/>
          <w:szCs w:val="28"/>
          <w:b w:val="1"/>
          <w:bCs w:val="1"/>
          <w:rtl/>
        </w:rPr>
        <w:t xml:space="preserve">بصري
</w:t>
      </w:r>
    </w:p>
    <w:p>
      <w:pPr/>
      <w:r>
        <w:rPr/>
        <w:t xml:space="preserve">بصري  العربي بن محمد بن عبد الرحمن بن عمر، أبو حامد الولهاصي المكناسي المعروف ببصري. مؤرخ، كان شيخ الشيوخ في مكناس وتوفي بها. تصدر للتدريس، وأخذ عنه كثيرون. وصنف (منحة الجبار، ونزهة الأبرار، وبهجة الأسرار، في ذكر الأقطاب والأولياء الأشراف والعلماء الأخيار - خ) في الخزانة الزايدانية بمكناس، و (الكواكب الدرية - خ) فيها أيضا، يشتمل على بعض المزايا النبوية وإثبات الشرف بالانتساب إلى النبي صلى الله عليه وسلم من قبل الأمهات والأجداد. </w:t>
      </w:r>
    </w:p>
    <w:p>
      <w:pPr>
        <w:jc w:val="start"/>
        <w:bidi/>
      </w:pPr>
      <w:r>
        <w:rPr>
          <w:sz w:val="24"/>
          <w:szCs w:val="24"/>
          <w:b w:val="1"/>
          <w:bCs w:val="1"/>
          <w:rtl/>
        </w:rPr>
        <w:t xml:space="preserve">
الأعلام،(دار العلم للملايين - بيروت،2002،ط 15،ج 4،ص 225)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2026-07-15T17:39:22+03:00</dcterms:created>
  <dcterms:modified xsi:type="dcterms:W3CDTF">2026-07-15T17:39:22+03:00</dcterms:modified>
</cp:coreProperties>
</file>

<file path=docProps/custom.xml><?xml version="1.0" encoding="utf-8"?>
<Properties xmlns="http://schemas.openxmlformats.org/officeDocument/2006/custom-properties" xmlns:vt="http://schemas.openxmlformats.org/officeDocument/2006/docPropsVTypes"/>
</file>