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عبد مناة
</w:t>
      </w:r>
    </w:p>
    <w:p>
      <w:pPr>
        <w:jc w:val="start"/>
        <w:bidi/>
      </w:pPr>
      <w:r>
        <w:rPr>
          <w:rFonts w:ascii="arial" w:hAnsi="arial" w:eastAsia="arial" w:cs="arial"/>
          <w:sz w:val="28"/>
          <w:szCs w:val="28"/>
          <w:b w:val="1"/>
          <w:bCs w:val="1"/>
          <w:rtl/>
        </w:rPr>
        <w:t xml:space="preserve">عدي بن عبد مناة
</w:t>
      </w:r>
    </w:p>
    <w:p>
      <w:pPr/>
      <w:r>
        <w:rPr/>
        <w:t xml:space="preserve">عدي بن عبد مناة  عدي بن عبد مناة بن أد بن طابخة، من مضر، من عدنان: جد جاهلي. سكن بعض بنيه اليمامة. واشتهر منهم بعد الاسلام ذو الرمة الشاعر (واسمه غيلان) وبينه وبين عدي اثنا عشر أبا، في رواية ابن حزم. ومن عقبه أبو رفاعة، عبد الله بن الحارث ابن عبد الله: صحابي، سكن البصرة وقتل بكابل؛ وآخرون.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2026-07-15T17:43:59+03:00</dcterms:created>
  <dcterms:modified xsi:type="dcterms:W3CDTF">2026-07-15T17:43:59+03:00</dcterms:modified>
</cp:coreProperties>
</file>

<file path=docProps/custom.xml><?xml version="1.0" encoding="utf-8"?>
<Properties xmlns="http://schemas.openxmlformats.org/officeDocument/2006/custom-properties" xmlns:vt="http://schemas.openxmlformats.org/officeDocument/2006/docPropsVTypes"/>
</file>