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الرعلاء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الرعلاء
</w:t>
      </w:r>
    </w:p>
    <w:p>
      <w:pPr/>
      <w:r>
        <w:rPr/>
        <w:t xml:space="preserve">ابن الرعلاء  عدي بن الرعلاء الغساني: شاعر جاهلي. اشتهر بنسبته إلى أمه. وضاع اسم أبيه. وهو صاحب القصيدة التي منها البيت الشائع على كل لسان:</w:t>
      </w:r>
    </w:p>
    <w:p/>
    <w:p>
      <w:pPr>
        <w:jc w:val="center"/>
      </w:pPr>
      <w:r>
        <w:rPr>
          <w:color w:val="ff0000"/>
        </w:rPr>
        <w:t xml:space="preserve">ليس من مات فاستراح بميت</w:t>
      </w:r>
      <w:r>
        <w:rPr>
          <w:color w:val="ff0000"/>
        </w:rPr>
        <w:t xml:space="preserve">      </w:t>
      </w:r>
      <w:r>
        <w:rPr>
          <w:color w:val="ff0000"/>
        </w:rPr>
        <w:t xml:space="preserve">انما الميت ميت الأحياء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2026-07-16T19:09:42+03:00</dcterms:created>
  <dcterms:modified xsi:type="dcterms:W3CDTF">2026-07-16T19:09:42+03:00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