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الوزير
</w:t>
      </w:r>
    </w:p>
    <w:p>
      <w:pPr>
        <w:jc w:val="start"/>
        <w:bidi/>
      </w:pPr>
      <w:r>
        <w:rPr>
          <w:rFonts w:ascii="arial" w:hAnsi="arial" w:eastAsia="arial" w:cs="arial"/>
          <w:sz w:val="28"/>
          <w:szCs w:val="28"/>
          <w:b w:val="1"/>
          <w:bCs w:val="1"/>
          <w:rtl/>
        </w:rPr>
        <w:t xml:space="preserve">ابن الوزير
</w:t>
      </w:r>
    </w:p>
    <w:p>
      <w:pPr/>
      <w:r>
        <w:rPr/>
        <w:t xml:space="preserve">ابن الوزير  عثمان بن علي بن محمد بن عبد الإله، من آل الوزير الحسني: قاض زيدي يماني. أخذ أصول الأحكام، عن المتوكل إسماعيل بمدينة شهارة وجهاتها. وتولى القضاء بوادي السر من أعمال صنعاء. وشرح قصيدة (القصص الحق) للإمام شرف الدين، في المعجزات النبوية، وسماه (انتهاز الفرص بشرح القصص - خ) بجامع صنعاء (الرقم 13 تاريخ) وتوفي بصنعاء. وإليه ينسب السادة بيت عثمان في هجرة (آل الوزير) على الشمال الشرقي من صنعاء. </w:t>
      </w:r>
    </w:p>
    <w:p>
      <w:pPr>
        <w:jc w:val="start"/>
        <w:bidi/>
      </w:pPr>
      <w:r>
        <w:rPr>
          <w:sz w:val="24"/>
          <w:szCs w:val="24"/>
          <w:b w:val="1"/>
          <w:bCs w:val="1"/>
          <w:rtl/>
        </w:rPr>
        <w:t xml:space="preserve">
الأعلام،(دار العلم للملايين - بيروت،2002،ط 15،ج 4،ص 210)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2026-07-15T14:56:39+03:00</dcterms:created>
  <dcterms:modified xsi:type="dcterms:W3CDTF">2026-07-15T14:56:39+03:00</dcterms:modified>
</cp:coreProperties>
</file>

<file path=docProps/custom.xml><?xml version="1.0" encoding="utf-8"?>
<Properties xmlns="http://schemas.openxmlformats.org/officeDocument/2006/custom-properties" xmlns:vt="http://schemas.openxmlformats.org/officeDocument/2006/docPropsVTypes"/>
</file>