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العبري
</w:t>
      </w:r>
    </w:p>
    <w:p>
      <w:pPr>
        <w:jc w:val="start"/>
        <w:bidi/>
      </w:pPr>
      <w:r>
        <w:rPr>
          <w:rFonts w:ascii="arial" w:hAnsi="arial" w:eastAsia="arial" w:cs="arial"/>
          <w:sz w:val="28"/>
          <w:szCs w:val="28"/>
          <w:b w:val="1"/>
          <w:bCs w:val="1"/>
          <w:rtl/>
        </w:rPr>
        <w:t xml:space="preserve">العبري
</w:t>
      </w:r>
    </w:p>
    <w:p>
      <w:pPr/>
      <w:r>
        <w:rPr/>
        <w:t xml:space="preserve">العبري  عبيد الله بن محمد الهاشمي الحسيني الفرغاني، برهان الدين، المعروف بالعبري: قاضي تبريز. ووفاته بها. حنفي كان يقرئ أهل المذهبين (الحنفية والشافعية) وينعت بالشريف المرتضى، مطاعا عند السلاطين، كثير التواضع ملاذا للضعفاء. شرح منهاج الوصول إلى علم الأصول - خ) 158 ورقة، في جامعة الرياض (رقم الفيلم 131) مصورا عن الحرم النبوي، في أصول الفقه، و (شرح طوالع الأنوار للبيضاوي - خ) في دار الكتب، وأوقاف بغداد. </w:t>
      </w:r>
    </w:p>
    <w:p>
      <w:pPr>
        <w:jc w:val="start"/>
        <w:bidi/>
      </w:pPr>
      <w:r>
        <w:rPr>
          <w:sz w:val="24"/>
          <w:szCs w:val="24"/>
          <w:b w:val="1"/>
          <w:bCs w:val="1"/>
          <w:rtl/>
        </w:rPr>
        <w:t xml:space="preserve">
الأعلام،(دار العلم للملايين - بيروت،2002،ط 15،ج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الهاشمى الحسيني
</w:t>
      </w:r>
    </w:p>
    <w:p>
      <w:pPr/>
      <w:r>
        <w:rPr/>
        <w:t xml:space="preserve">عبيد الله بن محمد الهاشمى الحسيني عبيد الله بن محمد الهاشمى الحسيني الفرغاني الشريف المعروف بالعبري بكسر المهملة وسكون الموحدة كان عارفا بالأصلين وشرح مصنفات القاضي ناصر الدين البيضاوي المنهاج والمطالع والغاية في الفقه والمصباح وسكن سلطانية ثم تبريز وولي قضاءها ذكره الأسنوي في طبقات الشافعية ويقال أنه كان يقرئ المذهبين وكان أولا حنفيا وذكره الذهبي في المشتبه في العبري فقال عالم كبير في وقتنا وتصانيفه سائرة مات في شهر رجب سنة 743 قلت رأيت بخط بعض فضلاء العجم أنه مات في غرة ذي الحجة منها وهو اثبت ووصفه فقال هو الشريف المرتضى قاضي القضاة كان مطاعا عند السلاطين مشهورا في الآفاق مشارا إليه في جميع الفنون ملاذا للضعفاء كثير التواضع والانصاف ومال في أواخر عمره إلى الاشتغال في العلوم الدينية وشرح كتاب المصابيح في المسجد الجامع يحضره الخاص والعام بعبارات عذبة فصيحة قريبة من الافهام وكانت وفاته بتبريز وفيها كان الغلاء المفرط بخراسان والعراق وفارس وأذربيجان وديار بكر حتى جاوز الوصف وأكل الرجل أبوه والابن أباه وبيعت لحوم الآدميين في الأسواق جهرا ودام ستة أشهر وكان أخف البلاد في ذلك أهل تبريز</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2026-07-15T12:16:22+03:00</dcterms:created>
  <dcterms:modified xsi:type="dcterms:W3CDTF">2026-07-15T12:16:22+03:00</dcterms:modified>
</cp:coreProperties>
</file>

<file path=docProps/custom.xml><?xml version="1.0" encoding="utf-8"?>
<Properties xmlns="http://schemas.openxmlformats.org/officeDocument/2006/custom-properties" xmlns:vt="http://schemas.openxmlformats.org/officeDocument/2006/docPropsVTypes"/>
</file>