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حكمت
</w:t>
      </w:r>
    </w:p>
    <w:p>
      <w:pPr>
        <w:jc w:val="start"/>
        <w:bidi/>
      </w:pPr>
      <w:r>
        <w:rPr>
          <w:rFonts w:ascii="arial" w:hAnsi="arial" w:eastAsia="arial" w:cs="arial"/>
          <w:sz w:val="28"/>
          <w:szCs w:val="28"/>
          <w:b w:val="1"/>
          <w:bCs w:val="1"/>
          <w:rtl/>
        </w:rPr>
        <w:t xml:space="preserve">عارف حكمت
</w:t>
      </w:r>
    </w:p>
    <w:p>
      <w:pPr/>
      <w:r>
        <w:rPr/>
        <w:t xml:space="preserve">عارف حكمت  أحمد عارف حكمت بن إبراهيم بن عصمت بن اسماعيل رائف باشا، ينتهي نسبه إلى بيت النبوة، من نسل الحسين: قاض، تركي المنشأ، مستعرب، اشتهر بخزانة كتب عظيمة له في المدينة المنورة، تعرف إلى اليوم بمكتبة عارف حكمت. تقلد قضاء القدس، ثم قضاء مصر، فقضاء المدينة المنورة، وانتهى به الصعود إلى ان ولى مشيخة الاسلام في الاستانة سنة 1262 هـ ، فأستمر سبعة اعوام ونصف عام، واقيل سنة 1270 فأنكب على العبادة والمطالعة إلى ان توفي بالاستانة. له نظم باللغات العربية والفارسية والتركية، وكتاب بالعربية سماه (الاحكام المرعية في الاراضي الاميرية) و (مجموعة تراجم) لعلماء القرن الثالث عشر، لعلها بالعربية، اقتبس منها صاحب ’’هدية العارفين’’ وللشهاب محمود الالوسي كتاب في ترجمته سماه (شهى النغم، في ترجمة عارف الحكم - خ) قلت: اشتهرت كتابة اسمه ’’عارف حكمت’’ بالتاء المبسوطة، على الطريقة التركية، ثم رأيت ’’خاتمه’’ الذي كان يصدر به كتبه الموقوفة في المدينة، واسمه فيه ’’أحمد عارف حكمة الله’’.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2026-07-03T16:13:35+03:00</dcterms:created>
  <dcterms:modified xsi:type="dcterms:W3CDTF">2026-07-03T16:13:35+03:00</dcterms:modified>
</cp:coreProperties>
</file>

<file path=docProps/custom.xml><?xml version="1.0" encoding="utf-8"?>
<Properties xmlns="http://schemas.openxmlformats.org/officeDocument/2006/custom-properties" xmlns:vt="http://schemas.openxmlformats.org/officeDocument/2006/docPropsVTypes"/>
</file>