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الرقي
</w:t>
      </w:r>
    </w:p>
    <w:p>
      <w:pPr/>
      <w:r>
        <w:rPr/>
        <w:t xml:space="preserve">الرقي  عبيد الله بن علي بن عبيد الله بن زنين، أبو القاسم الرقي: عالم بالأدب والفرائض. من أهل الرقة. سكن بغداد. وكان من تلاميذ المعري. له كتاب (القوافي - خ) صغير في دار الكتب، مصور عن الفاتح (5413).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زنين النحوي
</w:t>
      </w:r>
    </w:p>
    <w:p>
      <w:pPr/>
      <w:r>
        <w:rPr/>
        <w:t xml:space="preserve">ابن زنين النحوي عبيد الله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زنين
</w:t>
      </w:r>
    </w:p>
    <w:p>
      <w:pPr/>
      <w:r>
        <w:rPr/>
        <w:t xml:space="preserve">ابن زنين عبيد الله بن علي بن عبيد الله بن زنين الرقي. أبو القاسم. سكن بغداد. </w:t>
      </w:r>
    </w:p>
    <w:p/>
    <w:p>
      <w:pPr/>
      <w:r>
        <w:rPr/>
        <w:t xml:space="preserve">وتوفي سنة خمسين وأربع ماية. كان من العلماء بالنحو والأدب واللغة والفرائض. وكان صدوقا. أخذ الأدب عن الربعي والمعري. وله كتاب في القوافي. وكان أبو إسحاق الشيرازي يسأله ويقول له: قدر أنه سألك بعض الصبيان ولا تقل سألني عنها أبو إسحاق!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الرقي
</w:t>
      </w:r>
    </w:p>
    <w:p>
      <w:pPr/>
      <w:r>
        <w:rPr/>
        <w:t xml:space="preserve">أبو القاسم الرقي </w:t>
      </w:r>
    </w:p>
    <w:p/>
    <w:p>
      <w:pPr/>
      <w:r>
        <w:rPr/>
        <w:t xml:space="preserve">وأما أبو القاسم عبيد الله بن علي بن عبيد الله الرقي، فإنه كان عالماً باللغة والأدب، عارفاً بالقراءات وقسمة المواريث، وكان صدوقاً.</w:t>
      </w:r>
    </w:p>
    <w:p/>
    <w:p>
      <w:pPr/>
      <w:r>
        <w:rPr/>
        <w:t xml:space="preserve">ويحكى أن الشيخ الإمام أبا إسحاق الشيرازي الفقيه، كان يسأله عن الكلمة من اللغة، ويقول له: قدر أنه سألك عنها صبي، ولا تقل إنه سألني عنها الشيخ أبو إسحاق.</w:t>
      </w:r>
    </w:p>
    <w:p/>
    <w:p>
      <w:pPr/>
      <w:r>
        <w:rPr/>
        <w:t xml:space="preserve">قال أبو بكر الخطيب: سألته عن مولده، فقال: ولدت سنة إحدى وسبعين وثلاثمائة.</w:t>
      </w:r>
    </w:p>
    <w:p/>
    <w:p>
      <w:pPr/>
      <w:r>
        <w:rPr/>
        <w:t xml:space="preserve">وتوفي يوم الخميس الثاني من شهر ربيع الآخر، سنة خمسين وأربعمائة، في خلافة القائم بأمر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نزهة الألباء في طبقات الأدباء،(مكتبة المنار، الزرقاء - الأردن،1985،ط 3،ج 1،ص 260)/(دار الفكر العربي،1998،ط 1،ج 1،ص 309)/(مطبعة المعارف - بغداد،1959،ط 1،ج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2026-07-16T13:08:17+03:00</dcterms:created>
  <dcterms:modified xsi:type="dcterms:W3CDTF">2026-07-16T13:08:17+03:00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