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مؤيد الملك
</w:t>
      </w:r>
    </w:p>
    <w:p>
      <w:pPr>
        <w:jc w:val="start"/>
        <w:bidi/>
      </w:pPr>
      <w:r>
        <w:rPr>
          <w:rFonts w:ascii="arial" w:hAnsi="arial" w:eastAsia="arial" w:cs="arial"/>
          <w:sz w:val="28"/>
          <w:szCs w:val="28"/>
          <w:b w:val="1"/>
          <w:bCs w:val="1"/>
          <w:rtl/>
        </w:rPr>
        <w:t xml:space="preserve">مؤيد الملك
</w:t>
      </w:r>
    </w:p>
    <w:p>
      <w:pPr/>
      <w:r>
        <w:rPr/>
        <w:t xml:space="preserve">مؤيد الملك  عبيد الله (مؤيد الملك) ابن الحسن (نظام الملك) ابن علي: وزير، قال فيه العماد الاصفهاني: (هيهات ان يلد الزمان مثله في دهائه وذكائه ولطفه وظرفه) نشأ في بيت وزارة بأصبهان، ولم يكن في اولاد نظام الملكأمفأ منه. واستوزره السلطان بركيارق ابن ملكشته السلجوقي سنة 487هـ ، والدولة السلحوقية في أسوأ ايامها، فنهض بها. ثم تغير عليه السلطان فعزله واعتقله. وخلص من الاعتقال، فأظهر الانقطاع للعبادة. واتصل بمحمد بن ملكشاه (وهو اخو السلطان بركيارق وولي عهده) فاتفق معه على خلع اخيه، فخلعاه (سنة 492هـ) وفر السلطان من اصفهان. وقام صاحب الترجمة بوزارة السلطان محمد احسن قيام. ثم خرج إلى همذان في بعض اعماله، فأحط به عدد ممن بقي على الولاء لبركيارق فأسروه وحملوه اليه فضرب عنقه بيده.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2026-07-15T11:26:15+03:00</dcterms:created>
  <dcterms:modified xsi:type="dcterms:W3CDTF">2026-07-15T11:26:15+03:00</dcterms:modified>
</cp:coreProperties>
</file>

<file path=docProps/custom.xml><?xml version="1.0" encoding="utf-8"?>
<Properties xmlns="http://schemas.openxmlformats.org/officeDocument/2006/custom-properties" xmlns:vt="http://schemas.openxmlformats.org/officeDocument/2006/docPropsVTypes"/>
</file>