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التجموعتي
</w:t>
      </w:r>
    </w:p>
    <w:p>
      <w:pPr>
        <w:jc w:val="start"/>
        <w:bidi/>
      </w:pPr>
      <w:r>
        <w:rPr>
          <w:rFonts w:ascii="arial" w:hAnsi="arial" w:eastAsia="arial" w:cs="arial"/>
          <w:sz w:val="28"/>
          <w:szCs w:val="28"/>
          <w:b w:val="1"/>
          <w:bCs w:val="1"/>
          <w:rtl/>
        </w:rPr>
        <w:t xml:space="preserve">التجموعتي
</w:t>
      </w:r>
    </w:p>
    <w:p>
      <w:pPr/>
      <w:r>
        <w:rPr/>
        <w:t xml:space="preserve">التجموعتي  عبد الملك بن محمد، أبو مروان التجموعتي: قاضي سجلماسة. كان خطيبا حاد اللسان عالما بالحديث عارفا بالمخاطبات السلطانية ينظم الشعر. له (قصيدة في مدح طنجة - خ) في خزانة الرباط. وله (ملاك الطلب في جواب أستاذ حلب) رسالة لأحمد بن عبد الحي الحلبي ردا على معاصرهما أبي علي اليوسي. ورد عليه اليوسي، فأنشأ التجموعتي رسالة سماها (خلع الأطمار اليوسية - خ) في خزانة عبد الحي الكتاني. وله أيضا (شرح رائبة ابن ناصر) في قواعد الدين. وكانت وفاته في تافلالت.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2026-07-15T06:55:59+03:00</dcterms:created>
  <dcterms:modified xsi:type="dcterms:W3CDTF">2026-07-15T06:55:59+03:00</dcterms:modified>
</cp:coreProperties>
</file>

<file path=docProps/custom.xml><?xml version="1.0" encoding="utf-8"?>
<Properties xmlns="http://schemas.openxmlformats.org/officeDocument/2006/custom-properties" xmlns:vt="http://schemas.openxmlformats.org/officeDocument/2006/docPropsVTypes"/>
</file>