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عطية
</w:t>
      </w:r>
    </w:p>
    <w:p>
      <w:pPr>
        <w:jc w:val="start"/>
        <w:bidi/>
      </w:pPr>
      <w:r>
        <w:rPr>
          <w:rFonts w:ascii="arial" w:hAnsi="arial" w:eastAsia="arial" w:cs="arial"/>
          <w:sz w:val="28"/>
          <w:szCs w:val="28"/>
          <w:b w:val="1"/>
          <w:bCs w:val="1"/>
          <w:rtl/>
        </w:rPr>
        <w:t xml:space="preserve">ابن عطية
</w:t>
      </w:r>
    </w:p>
    <w:p>
      <w:pPr/>
      <w:r>
        <w:rPr/>
        <w:t xml:space="preserve">ابن عطية  عبد الملك بن محمد بن عطية السعدي، من سعد هوازن: امير من القادة الشجعان في عصر بني مروان. سيره مروان بن محمد من الشام في اربعة آلاف فارس، لقتال ابي حمزة وطالب الحق، فمضى اليهما، فالتقى بأبي حمزة في وادي القرى (من اعمال المدينة) فقتله وهزم اصحابه، وقصد اليمن - وطالب الحق فيها قد بويع له بالخلافة - فقاتله عبد الملك وقتله وبعث يرأسه إلى الشام. ومضى إلى صنعاء فأقام بها، فكتب اليه مروان ان يسرع في العودة ليحج بالناس، فأبقى جيشه وخيله بصنعاء وسار في عدد قليل، فلقيه جمع من بني مراد فقتلوه. </w:t>
      </w:r>
    </w:p>
    <w:p>
      <w:pPr>
        <w:jc w:val="start"/>
        <w:bidi/>
      </w:pPr>
      <w:r>
        <w:rPr>
          <w:sz w:val="24"/>
          <w:szCs w:val="24"/>
          <w:b w:val="1"/>
          <w:bCs w:val="1"/>
          <w:rtl/>
        </w:rPr>
        <w:t xml:space="preserve">
الأعلام،(دار العلم للملايين - بيروت،2002،ط 15،ج 4،ص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2026-07-15T06:50:34+03:00</dcterms:created>
  <dcterms:modified xsi:type="dcterms:W3CDTF">2026-07-15T06:50:34+03:00</dcterms:modified>
</cp:coreProperties>
</file>

<file path=docProps/custom.xml><?xml version="1.0" encoding="utf-8"?>
<Properties xmlns="http://schemas.openxmlformats.org/officeDocument/2006/custom-properties" xmlns:vt="http://schemas.openxmlformats.org/officeDocument/2006/docPropsVTypes"/>
</file>