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حمو
</w:t>
      </w:r>
    </w:p>
    <w:p>
      <w:pPr>
        <w:jc w:val="start"/>
        <w:bidi/>
      </w:pPr>
      <w:r>
        <w:rPr>
          <w:rFonts w:ascii="arial" w:hAnsi="arial" w:eastAsia="arial" w:cs="arial"/>
          <w:sz w:val="28"/>
          <w:szCs w:val="28"/>
          <w:b w:val="1"/>
          <w:bCs w:val="1"/>
          <w:rtl/>
        </w:rPr>
        <w:t xml:space="preserve">ابن ابي حمو
</w:t>
      </w:r>
    </w:p>
    <w:p>
      <w:pPr/>
      <w:r>
        <w:rPr/>
        <w:t xml:space="preserve">ابن ابي حمو  عبد الله بن موسى (ابي حمو) بن يوسف الزياني: من سلاطين تلمسان، المعروفين ببني عبد الواد. كان مواليا لخصومهم (بني مرين) مقيما عندهم بفاس. وبعثه السلطان عثمان المريني بجيش إلى تلمسان، فقاتل اخاه ابازيان (محمد بن موسى) سنة 802هـ. وقتل اخوه. فدخل تلمسان وتولاها في السنة نفسها. واقام يؤدي في كل عام خراجا للسلطان المريني. ثم غضب عليه السلطان عثمان المريني فوجه اليه جيشا قبض عليه وارسل إلى فاس سنة 804هـ. </w:t>
      </w:r>
    </w:p>
    <w:p>
      <w:pPr>
        <w:jc w:val="start"/>
        <w:bidi/>
      </w:pPr>
      <w:r>
        <w:rPr>
          <w:sz w:val="24"/>
          <w:szCs w:val="24"/>
          <w:b w:val="1"/>
          <w:bCs w:val="1"/>
          <w:rtl/>
        </w:rPr>
        <w:t xml:space="preserve">
الأعلام،(دار العلم للملايين - بيروت،2002،ط 15،ج 4،ص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2026-07-15T02:50:41+03:00</dcterms:created>
  <dcterms:modified xsi:type="dcterms:W3CDTF">2026-07-15T02:50:41+03:00</dcterms:modified>
</cp:coreProperties>
</file>

<file path=docProps/custom.xml><?xml version="1.0" encoding="utf-8"?>
<Properties xmlns="http://schemas.openxmlformats.org/officeDocument/2006/custom-properties" xmlns:vt="http://schemas.openxmlformats.org/officeDocument/2006/docPropsVTypes"/>
</file>