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النجري
</w:t>
      </w:r>
    </w:p>
    <w:p>
      <w:pPr>
        <w:jc w:val="start"/>
        <w:bidi/>
      </w:pPr>
      <w:r>
        <w:rPr>
          <w:rFonts w:ascii="arial" w:hAnsi="arial" w:eastAsia="arial" w:cs="arial"/>
          <w:sz w:val="28"/>
          <w:szCs w:val="28"/>
          <w:b w:val="1"/>
          <w:bCs w:val="1"/>
          <w:rtl/>
        </w:rPr>
        <w:t xml:space="preserve">النجري
</w:t>
      </w:r>
    </w:p>
    <w:p>
      <w:pPr/>
      <w:r>
        <w:rPr/>
        <w:t xml:space="preserve">النجري  عبد الله بن محمد بن ابي القاسم بن علي الزيدي العبسي العكي المعروف بالنجري: فقيه زيدي. نسبته إلى (نجرة) من قرى عبس حجة (باليمن) ولد ونشأ في مدينة حوث، ورحل إلى مصر فأقام خمس سنين. وهو اول من ادخل (مغني اللبيب) إلى اليمن. من كتبه (المعيار) في القواعد الفقهية، و (المختصر الفائق - خ) في الفرائضز توفى بقرية القابل من وادي ظهر (غربي صنعاء). </w:t>
      </w:r>
    </w:p>
    <w:p>
      <w:pPr>
        <w:jc w:val="start"/>
        <w:bidi/>
      </w:pPr>
      <w:r>
        <w:rPr>
          <w:sz w:val="24"/>
          <w:szCs w:val="24"/>
          <w:b w:val="1"/>
          <w:bCs w:val="1"/>
          <w:rtl/>
        </w:rPr>
        <w:t xml:space="preserve">
الأعلام،(دار العلم للملايين - بيروت،2002،ط 15،ج 4،ص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2026-07-15T01:18:08+03:00</dcterms:created>
  <dcterms:modified xsi:type="dcterms:W3CDTF">2026-07-15T01:18:08+03:00</dcterms:modified>
</cp:coreProperties>
</file>

<file path=docProps/custom.xml><?xml version="1.0" encoding="utf-8"?>
<Properties xmlns="http://schemas.openxmlformats.org/officeDocument/2006/custom-properties" xmlns:vt="http://schemas.openxmlformats.org/officeDocument/2006/docPropsVTypes"/>
</file>