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الطيماني
</w:t>
      </w:r>
    </w:p>
    <w:p>
      <w:pPr>
        <w:jc w:val="start"/>
        <w:bidi/>
      </w:pPr>
      <w:r>
        <w:rPr>
          <w:rFonts w:ascii="arial" w:hAnsi="arial" w:eastAsia="arial" w:cs="arial"/>
          <w:sz w:val="28"/>
          <w:szCs w:val="28"/>
          <w:b w:val="1"/>
          <w:bCs w:val="1"/>
          <w:rtl/>
        </w:rPr>
        <w:t xml:space="preserve">الطيماني
</w:t>
      </w:r>
    </w:p>
    <w:p>
      <w:pPr/>
      <w:r>
        <w:rPr/>
        <w:t xml:space="preserve">الطيماني  عبد الله بن محمد بن طيمان، جمال الدين الطيماني: من فضلاء الشافعية. مصري اشتهر في دمشق. كان يلبس زي العجم، قريبا من زي الترك. قال ابن حجي: افتى وصنف. واختصر (شرح الغزي) على المنهاج، وضم اليه اشياء من شرح الاذرعي. مات مقتولا في فتنة الناصر فرج بدمشق، بغير قصد من قاتاه، وهو في نحو 47 سنة من عمره. </w:t>
      </w:r>
    </w:p>
    <w:p>
      <w:pPr>
        <w:jc w:val="start"/>
        <w:bidi/>
      </w:pPr>
      <w:r>
        <w:rPr>
          <w:sz w:val="24"/>
          <w:szCs w:val="24"/>
          <w:b w:val="1"/>
          <w:bCs w:val="1"/>
          <w:rtl/>
        </w:rPr>
        <w:t xml:space="preserve">
الأعلام،(دار العلم للملايين - بيروت،2002،ط 15،ج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2026-07-15T01:20:04+03:00</dcterms:created>
  <dcterms:modified xsi:type="dcterms:W3CDTF">2026-07-15T01:20:04+03:00</dcterms:modified>
</cp:coreProperties>
</file>

<file path=docProps/custom.xml><?xml version="1.0" encoding="utf-8"?>
<Properties xmlns="http://schemas.openxmlformats.org/officeDocument/2006/custom-properties" xmlns:vt="http://schemas.openxmlformats.org/officeDocument/2006/docPropsVTypes"/>
</file>