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عبد الله بن عمر بن عبد العزيز بن المنذر، من نسل هبار بن الاسود القرشي: ثاني الامراء اصحاب (ثغر السند) من هذه الاسرة. وكانت قاعدتهم (المنصورة). ولي بعد وفاة ابيه. وكان يخطب للخليفة العباسي. وتداول ابناؤه الامارة من بعده إلى ان غلبهم عليها محمود بن سبكتكين صاحب غزنة.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2026-07-14T22:48:38+03:00</dcterms:created>
  <dcterms:modified xsi:type="dcterms:W3CDTF">2026-07-14T22:48:38+03:00</dcterms:modified>
</cp:coreProperties>
</file>

<file path=docProps/custom.xml><?xml version="1.0" encoding="utf-8"?>
<Properties xmlns="http://schemas.openxmlformats.org/officeDocument/2006/custom-properties" xmlns:vt="http://schemas.openxmlformats.org/officeDocument/2006/docPropsVTypes"/>
</file>