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ذي الفقار بن عمر الكاشف
</w:t>
      </w:r>
    </w:p>
    <w:p>
      <w:pPr>
        <w:jc w:val="start"/>
        <w:bidi/>
      </w:pPr>
      <w:r>
        <w:rPr>
          <w:rFonts w:ascii="arial" w:hAnsi="arial" w:eastAsia="arial" w:cs="arial"/>
          <w:sz w:val="28"/>
          <w:szCs w:val="28"/>
          <w:b w:val="1"/>
          <w:bCs w:val="1"/>
          <w:rtl/>
        </w:rPr>
        <w:t xml:space="preserve">أحمد الكاشف
</w:t>
      </w:r>
    </w:p>
    <w:p>
      <w:pPr/>
      <w:r>
        <w:rPr/>
        <w:t xml:space="preserve">أحمد الكاشف  أحمد بن ذي الفقار بن عمر الكاشف: شاعر مصري، من أهل القرشية (من الغربية بمصر) مولده ووفاته فيها. قوقازي الاصل. قال خليل مطران: ’’الكاشف ناصح ملوك وفارس هيجاء، ومقرع امم، ومرشد حيارى’’ وكان له اشتغال بالتصوير، ومال إلى الموسيقى ينفس بها كربه. واتهم بالدعوة إلى انشاء خلافة عربية يشرف عرشها على النيل (كما يقول في ترجمته لنفسه) فتدارك امره عند الخديوي عباس حلمي، فرضى عنه وكذبت الظنون، وامر بالاقامة في قريته (القرشية) فكان لا يبرحها الا مستترا. له (ديوان شعر - ط) في جزأين. </w:t>
      </w:r>
    </w:p>
    <w:p>
      <w:pPr>
        <w:jc w:val="start"/>
        <w:bidi/>
      </w:pPr>
      <w:r>
        <w:rPr>
          <w:sz w:val="24"/>
          <w:szCs w:val="24"/>
          <w:b w:val="1"/>
          <w:bCs w:val="1"/>
          <w:rtl/>
        </w:rPr>
        <w:t xml:space="preserve">
الأعلام،(دار العلم للملايين - بيروت،2002،ط 15،ج 1،ص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2026-06-03T20:59:23+03:00</dcterms:created>
  <dcterms:modified xsi:type="dcterms:W3CDTF">2026-06-03T20:59:23+03:00</dcterms:modified>
</cp:coreProperties>
</file>

<file path=docProps/custom.xml><?xml version="1.0" encoding="utf-8"?>
<Properties xmlns="http://schemas.openxmlformats.org/officeDocument/2006/custom-properties" xmlns:vt="http://schemas.openxmlformats.org/officeDocument/2006/docPropsVTypes"/>
</file>