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الثاني
</w:t>
      </w:r>
    </w:p>
    <w:p>
      <w:pPr>
        <w:jc w:val="start"/>
        <w:bidi/>
      </w:pPr>
      <w:r>
        <w:rPr>
          <w:rFonts w:ascii="arial" w:hAnsi="arial" w:eastAsia="arial" w:cs="arial"/>
          <w:sz w:val="28"/>
          <w:szCs w:val="28"/>
          <w:b w:val="1"/>
          <w:bCs w:val="1"/>
          <w:rtl/>
        </w:rPr>
        <w:t xml:space="preserve">المستنصر الثاني
</w:t>
      </w:r>
    </w:p>
    <w:p>
      <w:pPr/>
      <w:r>
        <w:rPr/>
        <w:t xml:space="preserve">المستنصر الثاني  عبد العزيز بن أحمد بن ابراهيم، ابو فارس المريني، الملقب بالسلطان المستنصر بالله: من ملوك الدولة المرينية في المغرب الاقصى. كان مع ابيه (ابي العباس) المستنصر الاول، في معتقل ابناء الملوك المرينيين، بحمراء غرناطة. وانتقل معه إلى المغرب حين تم له دخول فاس. وولاه ابوه قيادة الجيش لاخضاع تلمسان، فتوجه اليها وتوفى ابوه في تازا. فاستدعاه رجال الدولة فبايعوه بها، سنة 796 وانقادت له تلمسان وسائر المغرب، فاستمر ثلاث سنين وشهرا، ومات بفاس. كان كثير الشفقة، رقيق القلب، متوقفا في سفك الدماء، تمرس بالفروسية وله علم بالادب، ونظم. </w:t>
      </w:r>
    </w:p>
    <w:p>
      <w:pPr>
        <w:jc w:val="start"/>
        <w:bidi/>
      </w:pPr>
      <w:r>
        <w:rPr>
          <w:sz w:val="24"/>
          <w:szCs w:val="24"/>
          <w:b w:val="1"/>
          <w:bCs w:val="1"/>
          <w:rtl/>
        </w:rPr>
        <w:t xml:space="preserve">
الأعلام،(دار العلم للملايين - بيروت،2002،ط 15،ج 4،ص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2026-07-15T05:00:19+03:00</dcterms:created>
  <dcterms:modified xsi:type="dcterms:W3CDTF">2026-07-15T05:00:19+03:00</dcterms:modified>
</cp:coreProperties>
</file>

<file path=docProps/custom.xml><?xml version="1.0" encoding="utf-8"?>
<Properties xmlns="http://schemas.openxmlformats.org/officeDocument/2006/custom-properties" xmlns:vt="http://schemas.openxmlformats.org/officeDocument/2006/docPropsVTypes"/>
</file>