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الكاشي
</w:t>
      </w:r>
    </w:p>
    <w:p>
      <w:pPr/>
      <w:r>
        <w:rPr/>
        <w:t xml:space="preserve">الكاشي  عبد الرزاق (جمال الدين) بن أحمد (كمال الدين) ابن أبي الغنائم محمد الكاشي ’’أو الكاشاني أو القاشاني’’: صوفي مفسر، من العلماء. له كتب، منها (كشف الوجوه الغر - ط) في شرح تائية ابن الفارض، و (اصطلاحات الصوفية - خ) فيلم عنه في دمشق، يسمى (لطائف الإعلام في إشارات أهل الأفهام) وله (شرح منازل السائرين – ط) للهروي الحنبلي، و (السراج الوهاج) في تفسير القرآن، و (شرح فصوص الحكم لابن عربي - ط) و (تأويلات القرآن - خ) الأول منه، في الرياض (الرقم 2437) ورسالة (في القضاء والقدر - ط) و (رشح الزلال في شرح الألفاظ المتداولة بين أرباب الأذواق والأحوال).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2026-07-14T04:11:52+03:00</dcterms:created>
  <dcterms:modified xsi:type="dcterms:W3CDTF">2026-07-14T04:11:52+03:00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