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القرداغي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القرداغي
</w:t>
      </w:r>
    </w:p>
    <w:p>
      <w:pPr/>
      <w:r>
        <w:rPr/>
        <w:t xml:space="preserve">القرداغي  عبد الرحمن بن محمد القرداغي: فاضل، من أهل (قره داغ) من اعمال السليمانية بالعراق. ولد بها وقرأ على ابيه (وكان ابوه فقيه كردستان العراق) وانتقل إلى بغداد سنة 1275هـ ، وتردد بينها وبين بلده، وتوفى ببغداد. له تآليف، منها (دقائق الحقائق) في النحو، و (مواهب الرحمن) في علم البيان، و (تحفة اللبيب) في المنطق، و (تنبيه الاصدقاء في بيان التقليد والاجتهاد والافتاء والاستفناء) و (منهج الوصول) على منهاج الاصول، للبيضاوي، و (التبيان) في الناسخ والمنسوخ، و (ملخص الاقوال في مسألة خلق الاعمال).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2026-07-13T22:55:23+03:00</dcterms:created>
  <dcterms:modified xsi:type="dcterms:W3CDTF">2026-07-13T22:55:23+03:00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