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الفرفور
</w:t>
      </w:r>
    </w:p>
    <w:p>
      <w:pPr>
        <w:jc w:val="start"/>
        <w:bidi/>
      </w:pPr>
      <w:r>
        <w:rPr>
          <w:rFonts w:ascii="arial" w:hAnsi="arial" w:eastAsia="arial" w:cs="arial"/>
          <w:sz w:val="28"/>
          <w:szCs w:val="28"/>
          <w:b w:val="1"/>
          <w:bCs w:val="1"/>
          <w:rtl/>
        </w:rPr>
        <w:t xml:space="preserve">ابن الفرفور
</w:t>
      </w:r>
    </w:p>
    <w:p>
      <w:pPr/>
      <w:r>
        <w:rPr/>
        <w:t xml:space="preserve">ابن الفرفور  عبد الرحمن بن محمد بن أحمد، زين الدين ابن الفرفور: قاض شافعي أديب له شعر. مولده ووفاته بدمشق. تولى القضاء بشيزر والمجدل والقنيطرة. واعتزل المناصب، فانقطع للعلم والدرس. وفقد ابنا له فهجر الناس إلى أن توفي. قال البوريني: كان مبتلى بالعمارة والتخريب يعمر الشيء إلى أن يقارب إتمامه ويعن له أن يغيره فيخربه وهلم جرا فيضيع الأموال الكثيرة ولكنه يجد في ذلك سلوة لأحزانه واشتغالا عن أبناء زمانه. له من الكتب (التذكرة الحاطبية - خ) بخطه، في التيمورية (347 أدب).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2026-07-13T23:11:10+03:00</dcterms:created>
  <dcterms:modified xsi:type="dcterms:W3CDTF">2026-07-13T23:11:10+03:00</dcterms:modified>
</cp:coreProperties>
</file>

<file path=docProps/custom.xml><?xml version="1.0" encoding="utf-8"?>
<Properties xmlns="http://schemas.openxmlformats.org/officeDocument/2006/custom-properties" xmlns:vt="http://schemas.openxmlformats.org/officeDocument/2006/docPropsVTypes"/>
</file>