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إبراهيم بن عبد الرحيم بن علي، ابن الغزي الأموي
</w:t>
      </w:r>
    </w:p>
    <w:p>
      <w:pPr>
        <w:jc w:val="start"/>
        <w:bidi/>
      </w:pPr>
      <w:r>
        <w:rPr>
          <w:rFonts w:ascii="arial" w:hAnsi="arial" w:eastAsia="arial" w:cs="arial"/>
          <w:sz w:val="28"/>
          <w:szCs w:val="28"/>
          <w:b w:val="1"/>
          <w:bCs w:val="1"/>
          <w:rtl/>
        </w:rPr>
        <w:t xml:space="preserve">ابن الغزي
</w:t>
      </w:r>
    </w:p>
    <w:p>
      <w:pPr/>
      <w:r>
        <w:rPr/>
        <w:t xml:space="preserve">ابن الغزي  إبراهيم بن إبراهيم بن عبد الرحيم بن علي ابن الغزي الأموي: كاتب من الولاة. ترسل عن الملك الناصر داود (صاحب الكرك) ثم عن الناصر يوسف (صاحب دمشق) وتولى الرحبة وبلادها في أيام الظاهر بيبرس، ثم بعلبك. وأرسل إلى عكا في مهمة. وكانت له في الدولة حرمة وافرة وسيرة حسنة. وله معرفة كاملة بالأدب، وشعر غزلي رقيق. توفي قرب حلب، وقد قارب الستين. ودفن في بعلبك. </w:t>
      </w:r>
    </w:p>
    <w:p>
      <w:pPr>
        <w:jc w:val="start"/>
        <w:bidi/>
      </w:pPr>
      <w:r>
        <w:rPr>
          <w:sz w:val="24"/>
          <w:szCs w:val="24"/>
          <w:b w:val="1"/>
          <w:bCs w:val="1"/>
          <w:rtl/>
        </w:rPr>
        <w:t xml:space="preserve">
الأعلام،(دار العلم للملايين - بيروت،2002،ط 15،ج 1،ص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2026-05-16T15:02:05+03:00</dcterms:created>
  <dcterms:modified xsi:type="dcterms:W3CDTF">2026-05-16T15:02:05+03:00</dcterms:modified>
</cp:coreProperties>
</file>

<file path=docProps/custom.xml><?xml version="1.0" encoding="utf-8"?>
<Properties xmlns="http://schemas.openxmlformats.org/officeDocument/2006/custom-properties" xmlns:vt="http://schemas.openxmlformats.org/officeDocument/2006/docPropsVTypes"/>
</file>