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ضرار بن عمرو
</w:t>
      </w:r>
    </w:p>
    <w:p>
      <w:pPr>
        <w:jc w:val="start"/>
        <w:bidi/>
      </w:pPr>
      <w:r>
        <w:rPr>
          <w:rFonts w:ascii="arial" w:hAnsi="arial" w:eastAsia="arial" w:cs="arial"/>
          <w:sz w:val="28"/>
          <w:szCs w:val="28"/>
          <w:b w:val="1"/>
          <w:bCs w:val="1"/>
          <w:rtl/>
        </w:rPr>
        <w:t xml:space="preserve">ضرار بن عمرو
</w:t>
      </w:r>
    </w:p>
    <w:p>
      <w:pPr/>
      <w:r>
        <w:rPr/>
        <w:t xml:space="preserve">ضرار بن عمرو  ضرار بن عمرو بن مالك بن زيد الذهلي الضبي: سيد بني ضبة في الجاهلية. شهد يوم (القرنتين) ومعه ثمانية عشر، من أبنائه. وهم الذين حموه من عامر بن مالك (ملاعب الأسنة) في ذلك اليوم. وهو أول من لقب عامرا بملاعب الأسنة. مات قبيل الإسلام، وهو أبو (الحصين بن ضرار) قتيل وقعة الجمل. </w:t>
      </w:r>
    </w:p>
    <w:p>
      <w:pPr>
        <w:jc w:val="start"/>
        <w:bidi/>
      </w:pPr>
      <w:r>
        <w:rPr>
          <w:sz w:val="24"/>
          <w:szCs w:val="24"/>
          <w:b w:val="1"/>
          <w:bCs w:val="1"/>
          <w:rtl/>
        </w:rPr>
        <w:t xml:space="preserve">
الأعلام،(دار العلم للملايين - بيروت،2002،ط 15،ج 3،ص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2026-07-12T19:06:39+03:00</dcterms:created>
  <dcterms:modified xsi:type="dcterms:W3CDTF">2026-07-12T19:06:39+03:00</dcterms:modified>
</cp:coreProperties>
</file>

<file path=docProps/custom.xml><?xml version="1.0" encoding="utf-8"?>
<Properties xmlns="http://schemas.openxmlformats.org/officeDocument/2006/custom-properties" xmlns:vt="http://schemas.openxmlformats.org/officeDocument/2006/docPropsVTypes"/>
</file>