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البرزنجي
</w:t>
      </w:r>
    </w:p>
    <w:p>
      <w:pPr>
        <w:jc w:val="start"/>
        <w:bidi/>
      </w:pPr>
      <w:r>
        <w:rPr>
          <w:rFonts w:ascii="arial" w:hAnsi="arial" w:eastAsia="arial" w:cs="arial"/>
          <w:sz w:val="28"/>
          <w:szCs w:val="28"/>
          <w:b w:val="1"/>
          <w:bCs w:val="1"/>
          <w:rtl/>
        </w:rPr>
        <w:t xml:space="preserve">البرزنجي
</w:t>
      </w:r>
    </w:p>
    <w:p>
      <w:pPr/>
      <w:r>
        <w:rPr/>
        <w:t xml:space="preserve">البرزنجي  أحمد بن إسماعيل بن زين العابدين المدني، شهاب الدين البرزنجي: أديب، من أعيان المدينة المنورة، من أسرة كبيرة أصلها من شهروز (بجبال الأكراد) ترفع نسبها إلى الحسين السبط. ولد في المدينة، وتعلم بها وبمصر. وكان من مدرسي الحرم بالمدينة، وتولى إفناء الشافعية فيها. وانتخب نائبا عنها في مجلس النواب العثماني، باسطنبول. واستقر في دمشق أيام الحرب العامة الولى، وتوفي بها. له رسائل لطيفة، منها (المناقب الصديقية - ط) و (مناقب عمر بن الخطاب - ط) و (النظم البديع في مناقب أهل البقيع - خ) في الرباط (945 ك) و (النصيحة العامة لملوك الاسلام والعامة - ط) و (فتكة البراض، بالتركزي المعترض على القاضي عياض - ط) و (إصابة الدواهي في إعراب إلا هي - ط) و (جواهر الإكليل - ط) في الخديوي </w:t>
      </w:r>
    </w:p>
    <w:p>
      <w:pPr>
        <w:jc w:val="start"/>
        <w:bidi/>
      </w:pPr>
      <w:r>
        <w:rPr>
          <w:sz w:val="24"/>
          <w:szCs w:val="24"/>
          <w:b w:val="1"/>
          <w:bCs w:val="1"/>
          <w:rtl/>
        </w:rPr>
        <w:t xml:space="preserve">
الأعلام،(دار العلم للملايين - بيروت،2002،ط 15،ج 1،ص 99)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2026-07-02T07:17:50+03:00</dcterms:created>
  <dcterms:modified xsi:type="dcterms:W3CDTF">2026-07-02T07:17:50+03:00</dcterms:modified>
</cp:coreProperties>
</file>

<file path=docProps/custom.xml><?xml version="1.0" encoding="utf-8"?>
<Properties xmlns="http://schemas.openxmlformats.org/officeDocument/2006/custom-properties" xmlns:vt="http://schemas.openxmlformats.org/officeDocument/2006/docPropsVTypes"/>
</file>